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2005304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465C352A" w:rsidR="00E13C27" w:rsidRPr="00CF1AA2" w:rsidRDefault="008F6665" w:rsidP="00F00425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מיכל בירן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מיכל רוזין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ענת ברקו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מיקי לוי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יהודה גליק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יצחק וקנין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מירב בן ארי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אמיר אוחנה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מנחם אליעזר מוזס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גרמן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מרגי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יחיאל חיליק בר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פ/3197/20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288F77E0" w:rsidR="00E13C27" w:rsidRPr="00F67051" w:rsidRDefault="00A443CF" w:rsidP="00B90C9C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הביטוח הלאומי (תיקון </w:t>
      </w:r>
      <w:r w:rsidR="00B90C9C">
        <w:rPr>
          <w:rFonts w:hint="eastAsia"/>
          <w:rtl/>
        </w:rPr>
        <w:t>–</w:t>
      </w:r>
      <w:r>
        <w:rPr>
          <w:rFonts w:hint="cs"/>
          <w:rtl/>
        </w:rPr>
        <w:t xml:space="preserve"> חישוב דיפרנציאלי של קצבת הזקנה), התשע"ו</w:t>
      </w:r>
      <w:r w:rsidR="00B90C9C">
        <w:rPr>
          <w:rFonts w:hint="eastAsia"/>
          <w:rtl/>
        </w:rPr>
        <w:t>–</w:t>
      </w:r>
      <w:bookmarkStart w:id="8" w:name="_GoBack"/>
      <w:bookmarkEnd w:id="8"/>
      <w:r>
        <w:rPr>
          <w:rFonts w:hint="cs"/>
          <w:rtl/>
        </w:rPr>
        <w:t xml:space="preserve">2016 </w:t>
      </w:r>
      <w:bookmarkEnd w:id="7"/>
    </w:p>
    <w:p w14:paraId="21020EF8" w14:textId="3620DA15" w:rsidR="002C706D" w:rsidRDefault="002C706D" w:rsidP="002C706D">
      <w:pPr>
        <w:pStyle w:val="HeadDivreiHesber"/>
        <w:spacing w:before="0" w:after="0"/>
        <w:jc w:val="both"/>
        <w:rPr>
          <w:sz w:val="24"/>
          <w:szCs w:val="24"/>
          <w:rtl/>
        </w:rPr>
      </w:pPr>
    </w:p>
    <w:tbl>
      <w:tblPr>
        <w:bidiVisual/>
        <w:tblW w:w="963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4"/>
        <w:gridCol w:w="7143"/>
      </w:tblGrid>
      <w:tr w:rsidR="002C706D" w:rsidRPr="00F952AF" w14:paraId="7B25E82D" w14:textId="77777777" w:rsidTr="005128D7">
        <w:trPr>
          <w:cantSplit/>
        </w:trPr>
        <w:tc>
          <w:tcPr>
            <w:tcW w:w="1869" w:type="dxa"/>
          </w:tcPr>
          <w:p w14:paraId="6704F19F" w14:textId="77777777" w:rsidR="002C706D" w:rsidRPr="00DF0FFA" w:rsidRDefault="002C706D" w:rsidP="009C4101">
            <w:pPr>
              <w:pStyle w:val="TableSideHeading"/>
              <w:keepLines w:val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תיקון</w:t>
            </w:r>
            <w:r>
              <w:rPr>
                <w:sz w:val="24"/>
                <w:szCs w:val="24"/>
                <w:rtl/>
              </w:rPr>
              <w:t xml:space="preserve"> סעיף </w:t>
            </w:r>
            <w:r>
              <w:rPr>
                <w:rFonts w:hint="cs"/>
                <w:sz w:val="24"/>
                <w:szCs w:val="24"/>
                <w:rtl/>
              </w:rPr>
              <w:t>239</w:t>
            </w:r>
          </w:p>
        </w:tc>
        <w:tc>
          <w:tcPr>
            <w:tcW w:w="624" w:type="dxa"/>
          </w:tcPr>
          <w:p w14:paraId="43B63D13" w14:textId="77777777" w:rsidR="002C706D" w:rsidRPr="00DF0FFA" w:rsidRDefault="002C706D" w:rsidP="009C4101">
            <w:pPr>
              <w:pStyle w:val="TableText"/>
              <w:rPr>
                <w:sz w:val="24"/>
                <w:szCs w:val="24"/>
                <w:rtl/>
              </w:rPr>
            </w:pPr>
            <w:r w:rsidRPr="00DF0FFA">
              <w:rPr>
                <w:sz w:val="24"/>
                <w:szCs w:val="24"/>
                <w:rtl/>
              </w:rPr>
              <w:t>1.</w:t>
            </w:r>
          </w:p>
        </w:tc>
        <w:tc>
          <w:tcPr>
            <w:tcW w:w="7143" w:type="dxa"/>
          </w:tcPr>
          <w:p w14:paraId="4151D35A" w14:textId="40D2FD08" w:rsidR="002C706D" w:rsidRPr="00046667" w:rsidRDefault="002C706D" w:rsidP="00F00425">
            <w:pPr>
              <w:pStyle w:val="TableBlock"/>
              <w:rPr>
                <w:rtl/>
              </w:rPr>
            </w:pPr>
            <w:r w:rsidRPr="007E7B4F">
              <w:rPr>
                <w:rFonts w:hint="cs"/>
                <w:rtl/>
              </w:rPr>
              <w:t xml:space="preserve">בחוק הביטוח הלאומי [נוסח משולב], </w:t>
            </w:r>
            <w:r w:rsidR="00046667">
              <w:rPr>
                <w:rFonts w:hint="cs"/>
                <w:rtl/>
              </w:rPr>
              <w:t>ה</w:t>
            </w:r>
            <w:r w:rsidRPr="007E7B4F">
              <w:rPr>
                <w:rFonts w:hint="cs"/>
                <w:rtl/>
              </w:rPr>
              <w:t>תשנ"ה</w:t>
            </w:r>
            <w:r w:rsidR="00F00425">
              <w:rPr>
                <w:rFonts w:hint="eastAsia"/>
                <w:rtl/>
              </w:rPr>
              <w:t>–</w:t>
            </w:r>
            <w:r w:rsidR="00F00425" w:rsidRPr="007E7B4F">
              <w:rPr>
                <w:rFonts w:hint="cs"/>
                <w:rtl/>
              </w:rPr>
              <w:t>1995</w:t>
            </w:r>
            <w:r w:rsidR="006E63B1">
              <w:rPr>
                <w:rStyle w:val="a6"/>
                <w:rtl/>
              </w:rPr>
              <w:footnoteReference w:id="2"/>
            </w:r>
            <w:r w:rsidR="00DD3608">
              <w:rPr>
                <w:rFonts w:hint="cs"/>
                <w:rtl/>
              </w:rPr>
              <w:t>,</w:t>
            </w:r>
            <w:r w:rsidRPr="007E7B4F">
              <w:rPr>
                <w:rtl/>
              </w:rPr>
              <w:t xml:space="preserve"> </w:t>
            </w:r>
            <w:r w:rsidR="00A96EBE" w:rsidRPr="00825495">
              <w:rPr>
                <w:rFonts w:hint="cs"/>
                <w:rtl/>
              </w:rPr>
              <w:t>ב</w:t>
            </w:r>
            <w:r w:rsidRPr="00825495">
              <w:rPr>
                <w:rFonts w:hint="cs"/>
                <w:rtl/>
              </w:rPr>
              <w:t>סעיף 239(א)</w:t>
            </w:r>
            <w:r w:rsidR="00046667">
              <w:rPr>
                <w:rFonts w:hint="cs"/>
                <w:rtl/>
              </w:rPr>
              <w:t>,</w:t>
            </w:r>
            <w:r w:rsidRPr="00825495">
              <w:rPr>
                <w:rFonts w:hint="cs"/>
                <w:rtl/>
              </w:rPr>
              <w:t xml:space="preserve"> </w:t>
            </w:r>
            <w:r w:rsidR="00A96EBE" w:rsidRPr="00825495">
              <w:rPr>
                <w:rFonts w:hint="cs"/>
                <w:rtl/>
              </w:rPr>
              <w:t xml:space="preserve">במקום סעיף קטן (א) </w:t>
            </w:r>
            <w:r w:rsidRPr="00825495">
              <w:rPr>
                <w:rtl/>
              </w:rPr>
              <w:t>יבוא:</w:t>
            </w:r>
          </w:p>
        </w:tc>
      </w:tr>
      <w:tr w:rsidR="00DD7304" w:rsidRPr="00F952AF" w14:paraId="64311C65" w14:textId="77777777" w:rsidTr="005128D7">
        <w:trPr>
          <w:cantSplit/>
        </w:trPr>
        <w:tc>
          <w:tcPr>
            <w:tcW w:w="1869" w:type="dxa"/>
          </w:tcPr>
          <w:p w14:paraId="55679902" w14:textId="77777777" w:rsidR="00DD7304" w:rsidRDefault="00DD7304" w:rsidP="009C4101">
            <w:pPr>
              <w:pStyle w:val="TableSideHeading"/>
              <w:keepLines w:val="0"/>
              <w:rPr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0265BBCB" w14:textId="77777777" w:rsidR="00DD7304" w:rsidRPr="00DF0FFA" w:rsidRDefault="00DD7304" w:rsidP="00DD7304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13E21AF6" w14:textId="34AFDDE0" w:rsidR="00DD7304" w:rsidRDefault="007E7B4F" w:rsidP="001E2506">
            <w:pPr>
              <w:pStyle w:val="TableBlock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"</w:t>
            </w:r>
            <w:r w:rsidR="00DD7304" w:rsidRPr="00DD7304"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 w:rsidR="00DD7304" w:rsidRPr="00DD7304">
              <w:rPr>
                <w:rFonts w:hint="cs"/>
                <w:rtl/>
              </w:rPr>
              <w:t>נוצרה</w:t>
            </w:r>
            <w:r w:rsidR="00DD7304" w:rsidRPr="00DD7304">
              <w:rPr>
                <w:rtl/>
              </w:rPr>
              <w:t xml:space="preserve"> </w:t>
            </w:r>
            <w:r w:rsidR="00DD7304" w:rsidRPr="00DD7304">
              <w:rPr>
                <w:rFonts w:hint="cs"/>
                <w:rtl/>
              </w:rPr>
              <w:t>זכות</w:t>
            </w:r>
            <w:r w:rsidR="00DD7304" w:rsidRPr="00DD7304">
              <w:rPr>
                <w:rtl/>
              </w:rPr>
              <w:t xml:space="preserve"> </w:t>
            </w:r>
            <w:r w:rsidR="00DD7304" w:rsidRPr="00DD7304">
              <w:rPr>
                <w:rFonts w:hint="cs"/>
                <w:rtl/>
              </w:rPr>
              <w:t>לקצבה</w:t>
            </w:r>
            <w:r w:rsidR="00DD7304" w:rsidRPr="00DD7304">
              <w:rPr>
                <w:rtl/>
              </w:rPr>
              <w:t xml:space="preserve"> </w:t>
            </w:r>
            <w:r w:rsidR="00DD7304" w:rsidRPr="00DD7304">
              <w:rPr>
                <w:rFonts w:hint="cs"/>
                <w:rtl/>
              </w:rPr>
              <w:t>או</w:t>
            </w:r>
            <w:r w:rsidR="00DD7304" w:rsidRPr="00DD7304">
              <w:rPr>
                <w:rtl/>
              </w:rPr>
              <w:t xml:space="preserve"> </w:t>
            </w:r>
            <w:r w:rsidR="00DD7304" w:rsidRPr="00DD7304">
              <w:rPr>
                <w:rFonts w:hint="cs"/>
                <w:rtl/>
              </w:rPr>
              <w:t>לתוספת</w:t>
            </w:r>
            <w:r w:rsidR="00DD7304" w:rsidRPr="00DD7304">
              <w:rPr>
                <w:rtl/>
              </w:rPr>
              <w:t xml:space="preserve"> </w:t>
            </w:r>
            <w:r w:rsidR="00DD7304" w:rsidRPr="00DD7304">
              <w:rPr>
                <w:rFonts w:hint="cs"/>
                <w:rtl/>
              </w:rPr>
              <w:t>לקצבה</w:t>
            </w:r>
            <w:r w:rsidR="00DD7304" w:rsidRPr="00DD7304">
              <w:rPr>
                <w:rtl/>
              </w:rPr>
              <w:t xml:space="preserve"> </w:t>
            </w:r>
            <w:r w:rsidR="00DD7304" w:rsidRPr="00DD7304">
              <w:rPr>
                <w:rFonts w:hint="cs"/>
                <w:rtl/>
              </w:rPr>
              <w:t>לפי</w:t>
            </w:r>
            <w:r w:rsidR="00DD7304" w:rsidRPr="00DD7304">
              <w:rPr>
                <w:rtl/>
              </w:rPr>
              <w:t xml:space="preserve"> </w:t>
            </w:r>
            <w:r w:rsidR="00DD7304" w:rsidRPr="00DD7304">
              <w:rPr>
                <w:rFonts w:hint="cs"/>
                <w:rtl/>
              </w:rPr>
              <w:t>פרק זה, תשולם הקצבה או התוספת החל ביום בו נוצרה הזכות</w:t>
            </w:r>
            <w:r>
              <w:rPr>
                <w:rFonts w:hint="cs"/>
                <w:rtl/>
              </w:rPr>
              <w:t xml:space="preserve">, </w:t>
            </w:r>
            <w:r w:rsidR="001E2506">
              <w:rPr>
                <w:rFonts w:hint="cs"/>
                <w:rtl/>
              </w:rPr>
              <w:t>ותחושב לפי היחס שבין מספר הימים שנותרו בחודש מיום שנוצרה הזכות ובין מספר הימים שבאותו חודש</w:t>
            </w:r>
            <w:r w:rsidR="00DD7304" w:rsidRPr="00DD7304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"</w:t>
            </w:r>
            <w:r w:rsidR="00DD7304" w:rsidRPr="00DD7304">
              <w:rPr>
                <w:rtl/>
              </w:rPr>
              <w:t xml:space="preserve">  </w:t>
            </w:r>
          </w:p>
        </w:tc>
      </w:tr>
    </w:tbl>
    <w:p w14:paraId="427379E6" w14:textId="223E0523" w:rsidR="00AE2700" w:rsidRDefault="00AE2700" w:rsidP="002C706D">
      <w:pPr>
        <w:ind w:right="284" w:firstLine="0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br w:type="page"/>
      </w:r>
    </w:p>
    <w:p w14:paraId="4057E1D6" w14:textId="77777777" w:rsidR="002C706D" w:rsidRPr="00AE2700" w:rsidRDefault="002C706D" w:rsidP="002C706D">
      <w:pPr>
        <w:ind w:right="284" w:firstLine="0"/>
        <w:rPr>
          <w:b/>
          <w:bCs/>
          <w:sz w:val="24"/>
          <w:szCs w:val="24"/>
          <w:u w:val="single"/>
          <w:rtl/>
        </w:rPr>
      </w:pPr>
    </w:p>
    <w:p w14:paraId="63184EDC" w14:textId="2B05DF7B" w:rsidR="002C706D" w:rsidRPr="00A857B4" w:rsidRDefault="002C706D" w:rsidP="00A857B4">
      <w:pPr>
        <w:pStyle w:val="HeadDivreiHesber"/>
        <w:rPr>
          <w:b w:val="0"/>
          <w:spacing w:val="0"/>
          <w:sz w:val="24"/>
          <w:szCs w:val="24"/>
          <w:rtl/>
        </w:rPr>
      </w:pPr>
      <w:r w:rsidRPr="00DD3608">
        <w:rPr>
          <w:rFonts w:hint="cs"/>
          <w:rtl/>
        </w:rPr>
        <w:t>דברי</w:t>
      </w:r>
      <w:r w:rsidRPr="002C706D">
        <w:rPr>
          <w:rFonts w:hint="cs"/>
          <w:b w:val="0"/>
          <w:spacing w:val="0"/>
          <w:sz w:val="24"/>
          <w:szCs w:val="24"/>
          <w:rtl/>
        </w:rPr>
        <w:t xml:space="preserve"> </w:t>
      </w:r>
      <w:r w:rsidRPr="00DD3608">
        <w:rPr>
          <w:rFonts w:hint="cs"/>
          <w:rtl/>
        </w:rPr>
        <w:t>הסבר</w:t>
      </w:r>
    </w:p>
    <w:p w14:paraId="076CAEDA" w14:textId="1CC00EA3" w:rsidR="002C706D" w:rsidRPr="005128D7" w:rsidRDefault="002C706D" w:rsidP="00825495">
      <w:pPr>
        <w:pStyle w:val="Hesber"/>
        <w:rPr>
          <w:rtl/>
        </w:rPr>
      </w:pPr>
      <w:r w:rsidRPr="005128D7">
        <w:rPr>
          <w:rFonts w:hint="cs"/>
          <w:rtl/>
        </w:rPr>
        <w:t>סעיף 239(א) בפרק י"א לחוק הביטוח הלאומי [נוסח משולב]</w:t>
      </w:r>
      <w:r w:rsidR="00825495">
        <w:rPr>
          <w:rFonts w:hint="cs"/>
          <w:rtl/>
        </w:rPr>
        <w:t>,</w:t>
      </w:r>
      <w:r w:rsidR="00DD3608">
        <w:rPr>
          <w:rFonts w:hint="cs"/>
          <w:rtl/>
        </w:rPr>
        <w:t xml:space="preserve"> התשנ"ה</w:t>
      </w:r>
      <w:r w:rsidR="00DD3608">
        <w:rPr>
          <w:rFonts w:hint="eastAsia"/>
          <w:rtl/>
        </w:rPr>
        <w:t>–</w:t>
      </w:r>
      <w:r w:rsidR="00DD3608">
        <w:rPr>
          <w:rFonts w:hint="cs"/>
          <w:rtl/>
        </w:rPr>
        <w:t>1995,</w:t>
      </w:r>
      <w:r w:rsidRPr="005128D7">
        <w:rPr>
          <w:rFonts w:hint="cs"/>
          <w:rtl/>
        </w:rPr>
        <w:t xml:space="preserve"> קובע את מועד תחילת הזכאות לקבלת קצבת </w:t>
      </w:r>
      <w:r w:rsidR="00825495">
        <w:rPr>
          <w:rFonts w:hint="cs"/>
          <w:rtl/>
        </w:rPr>
        <w:t>זקנה</w:t>
      </w:r>
      <w:r w:rsidRPr="005128D7">
        <w:rPr>
          <w:rFonts w:hint="cs"/>
          <w:rtl/>
        </w:rPr>
        <w:t xml:space="preserve">. סעיף זה </w:t>
      </w:r>
      <w:r w:rsidR="00825495" w:rsidRPr="005128D7">
        <w:rPr>
          <w:rFonts w:hint="cs"/>
          <w:rtl/>
        </w:rPr>
        <w:t>מ</w:t>
      </w:r>
      <w:r w:rsidR="00825495">
        <w:rPr>
          <w:rFonts w:hint="cs"/>
          <w:rtl/>
        </w:rPr>
        <w:t>פריד</w:t>
      </w:r>
      <w:r w:rsidR="00825495" w:rsidRPr="005128D7">
        <w:rPr>
          <w:rFonts w:hint="cs"/>
          <w:rtl/>
        </w:rPr>
        <w:t xml:space="preserve"> </w:t>
      </w:r>
      <w:r w:rsidRPr="005128D7">
        <w:rPr>
          <w:rFonts w:hint="cs"/>
          <w:rtl/>
        </w:rPr>
        <w:t>באופן דיכוטומי בין גמלאים שנולדו לפני ה-15 בחודש, לגמלאים שנולדו לאחרי</w:t>
      </w:r>
      <w:r w:rsidR="00A23E23">
        <w:rPr>
          <w:rFonts w:hint="cs"/>
          <w:rtl/>
        </w:rPr>
        <w:t xml:space="preserve">ו. כדי לצמצם את אי השוויון בשל </w:t>
      </w:r>
      <w:r w:rsidRPr="005128D7">
        <w:rPr>
          <w:rFonts w:hint="cs"/>
          <w:rtl/>
        </w:rPr>
        <w:t>חלוקה</w:t>
      </w:r>
      <w:r w:rsidR="00A23E23">
        <w:rPr>
          <w:rFonts w:hint="cs"/>
          <w:rtl/>
        </w:rPr>
        <w:t xml:space="preserve"> זו,</w:t>
      </w:r>
      <w:r w:rsidRPr="005128D7">
        <w:rPr>
          <w:rFonts w:hint="cs"/>
          <w:rtl/>
        </w:rPr>
        <w:t xml:space="preserve"> אשר יוצרת הבחנה שאין בבסיסה שוני מהותי, מוצע לשנות את מועד קבלת הקצבה בחודש הראשון לזכאות, כך שקבלת הקצבה תקבע באופן דיפרנציאלי, על-פי היום בחודש בו נוצרת תחילת הזכאות.</w:t>
      </w:r>
    </w:p>
    <w:p w14:paraId="6F7C9C76" w14:textId="77777777" w:rsidR="002C706D" w:rsidRPr="005128D7" w:rsidRDefault="002C706D" w:rsidP="005128D7">
      <w:pPr>
        <w:pStyle w:val="Hesber"/>
        <w:rPr>
          <w:rtl/>
        </w:rPr>
      </w:pPr>
      <w:r w:rsidRPr="005128D7">
        <w:rPr>
          <w:rFonts w:hint="cs"/>
          <w:rtl/>
        </w:rPr>
        <w:t>כך לדוגמה: אם נוצרה זכות ב-1 לחודש, הזכאי יקבל קצבה מלאה; אם נוצרה זכות ב-15 הזכאי יקבל מחצית הקצבה; אם נוצרה זכות ב-20 לחודש, ובאותו החודש 30 יום, אזי שהזכאי לקצבה יקבל שליש משווי הקצבה המלאה לה הוא זכאי.</w:t>
      </w:r>
    </w:p>
    <w:p w14:paraId="691C7CFA" w14:textId="5C508B69" w:rsidR="00A857B4" w:rsidRPr="005128D7" w:rsidRDefault="00DD3608" w:rsidP="00842FF6">
      <w:pPr>
        <w:pStyle w:val="Hesber"/>
        <w:rPr>
          <w:rtl/>
        </w:rPr>
      </w:pPr>
      <w:r>
        <w:rPr>
          <w:rFonts w:hint="cs"/>
          <w:rtl/>
        </w:rPr>
        <w:t>שינוי זה י</w:t>
      </w:r>
      <w:r w:rsidR="002C706D" w:rsidRPr="005128D7">
        <w:rPr>
          <w:rFonts w:hint="cs"/>
          <w:rtl/>
        </w:rPr>
        <w:t>מנע חלוק</w:t>
      </w:r>
      <w:r w:rsidR="00842FF6">
        <w:rPr>
          <w:rFonts w:hint="cs"/>
          <w:rtl/>
        </w:rPr>
        <w:t>ה</w:t>
      </w:r>
      <w:r w:rsidR="002C706D" w:rsidRPr="005128D7">
        <w:rPr>
          <w:rFonts w:hint="cs"/>
          <w:rtl/>
        </w:rPr>
        <w:t xml:space="preserve"> דיכוט</w:t>
      </w:r>
      <w:r>
        <w:rPr>
          <w:rFonts w:hint="cs"/>
          <w:rtl/>
        </w:rPr>
        <w:t>ומית בין הזכאים לקבלת הקצבה, ויי</w:t>
      </w:r>
      <w:r w:rsidR="002C706D" w:rsidRPr="005128D7">
        <w:rPr>
          <w:rFonts w:hint="cs"/>
          <w:rtl/>
        </w:rPr>
        <w:t>צור חלוקה הוגנת וראויה של המשאבים הכספיים, בלי לדרוש הקצאת משאבים נוספים מטעם המדינה לנושא.</w:t>
      </w:r>
    </w:p>
    <w:p w14:paraId="2E1DF6C7" w14:textId="77777777" w:rsidR="002C706D" w:rsidRDefault="002C706D" w:rsidP="005128D7">
      <w:pPr>
        <w:pStyle w:val="Hesber"/>
        <w:rPr>
          <w:rtl/>
        </w:rPr>
      </w:pPr>
    </w:p>
    <w:p w14:paraId="4920E687" w14:textId="4340AAA4" w:rsidR="00F00425" w:rsidRDefault="00F00425" w:rsidP="005128D7">
      <w:pPr>
        <w:pStyle w:val="Hesber"/>
        <w:rPr>
          <w:rtl/>
        </w:rPr>
      </w:pPr>
    </w:p>
    <w:p w14:paraId="13B9355B" w14:textId="77777777" w:rsidR="00F00425" w:rsidRPr="005128D7" w:rsidRDefault="00F00425" w:rsidP="005128D7">
      <w:pPr>
        <w:pStyle w:val="Hesber"/>
        <w:rPr>
          <w:rtl/>
        </w:rPr>
      </w:pPr>
    </w:p>
    <w:p w14:paraId="07020094" w14:textId="77777777" w:rsidR="00842FF6" w:rsidRPr="00D73212" w:rsidRDefault="00842FF6" w:rsidP="00C268D7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72DCEDE7" w14:textId="77777777" w:rsidR="00842FF6" w:rsidRPr="00D73212" w:rsidRDefault="00842FF6" w:rsidP="00C268D7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209FA357" w14:textId="77777777" w:rsidR="00842FF6" w:rsidRPr="00D73212" w:rsidRDefault="00842FF6" w:rsidP="00C268D7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74A1427" w14:textId="77777777" w:rsidR="00842FF6" w:rsidRPr="00317312" w:rsidRDefault="00842FF6" w:rsidP="003331E5">
      <w:pPr>
        <w:pStyle w:val="Hesber"/>
      </w:pPr>
      <w:r>
        <w:rPr>
          <w:rFonts w:hint="cs"/>
          <w:color w:val="auto"/>
          <w:rtl/>
          <w:lang w:eastAsia="en-US"/>
        </w:rPr>
        <w:t>י"ט בתמוז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ו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25.7</w:t>
      </w:r>
      <w:r w:rsidRPr="00D73212">
        <w:rPr>
          <w:color w:val="auto"/>
          <w:rtl/>
          <w:lang w:eastAsia="en-US"/>
        </w:rPr>
        <w:t>.1</w:t>
      </w:r>
      <w:r>
        <w:rPr>
          <w:rFonts w:hint="cs"/>
          <w:color w:val="auto"/>
          <w:rtl/>
          <w:lang w:eastAsia="en-US"/>
        </w:rPr>
        <w:t>6</w:t>
      </w:r>
    </w:p>
    <w:p w14:paraId="4E910962" w14:textId="0EF118C7" w:rsidR="002C706D" w:rsidRPr="005128D7" w:rsidRDefault="002C706D" w:rsidP="00842FF6">
      <w:pPr>
        <w:rPr>
          <w:rtl/>
        </w:rPr>
      </w:pPr>
    </w:p>
    <w:p w14:paraId="7F6961CB" w14:textId="77777777" w:rsidR="00E13C27" w:rsidRPr="005128D7" w:rsidRDefault="00E13C27" w:rsidP="005128D7">
      <w:pPr>
        <w:pStyle w:val="Hesber"/>
        <w:rPr>
          <w:rtl/>
        </w:rPr>
      </w:pPr>
    </w:p>
    <w:sectPr w:rsidR="00E13C27" w:rsidRPr="005128D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B90C9C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24A1698B" w14:textId="5AE60ABF" w:rsidR="006E63B1" w:rsidRDefault="006E63B1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התשנ"ה, עמ'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4666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1E2506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C706D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128D7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6E63B1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7E7B4F"/>
    <w:rsid w:val="00810BCD"/>
    <w:rsid w:val="00812C98"/>
    <w:rsid w:val="00814D92"/>
    <w:rsid w:val="00825495"/>
    <w:rsid w:val="0083181D"/>
    <w:rsid w:val="00842FF6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3E23"/>
    <w:rsid w:val="00A26BD6"/>
    <w:rsid w:val="00A443CF"/>
    <w:rsid w:val="00A6611D"/>
    <w:rsid w:val="00A82CB7"/>
    <w:rsid w:val="00A857B4"/>
    <w:rsid w:val="00A942C1"/>
    <w:rsid w:val="00A96EBE"/>
    <w:rsid w:val="00AA2F03"/>
    <w:rsid w:val="00AC36F7"/>
    <w:rsid w:val="00AC63A4"/>
    <w:rsid w:val="00AD239E"/>
    <w:rsid w:val="00AE2700"/>
    <w:rsid w:val="00AF3030"/>
    <w:rsid w:val="00B10265"/>
    <w:rsid w:val="00B16A99"/>
    <w:rsid w:val="00B21211"/>
    <w:rsid w:val="00B35784"/>
    <w:rsid w:val="00B733A7"/>
    <w:rsid w:val="00B75C91"/>
    <w:rsid w:val="00B90C9C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B7060"/>
    <w:rsid w:val="00DD3608"/>
    <w:rsid w:val="00DD7304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00425"/>
    <w:rsid w:val="00F41AA4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D7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5128D7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5128D7"/>
    <w:rPr>
      <w:sz w:val="36"/>
      <w:szCs w:val="52"/>
    </w:rPr>
  </w:style>
  <w:style w:type="paragraph" w:customStyle="1" w:styleId="Cover3-Haknesset">
    <w:name w:val="Cover 3-Haknesset"/>
    <w:basedOn w:val="Cover1-Reshumot"/>
    <w:rsid w:val="005128D7"/>
    <w:rPr>
      <w:b/>
      <w:bCs/>
      <w:spacing w:val="60"/>
    </w:rPr>
  </w:style>
  <w:style w:type="paragraph" w:customStyle="1" w:styleId="Cover4-Date">
    <w:name w:val="Cover 4-Date"/>
    <w:basedOn w:val="a"/>
    <w:rsid w:val="005128D7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5128D7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5128D7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5128D7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5128D7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5128D7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5128D7"/>
  </w:style>
  <w:style w:type="paragraph" w:customStyle="1" w:styleId="TableBlock">
    <w:name w:val="Table Block"/>
    <w:basedOn w:val="TableText"/>
    <w:rsid w:val="005128D7"/>
    <w:pPr>
      <w:ind w:right="0"/>
      <w:jc w:val="both"/>
    </w:pPr>
  </w:style>
  <w:style w:type="paragraph" w:customStyle="1" w:styleId="TableHead">
    <w:name w:val="Table Head"/>
    <w:basedOn w:val="TableText"/>
    <w:rsid w:val="005128D7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5128D7"/>
  </w:style>
  <w:style w:type="paragraph" w:customStyle="1" w:styleId="Hesber">
    <w:name w:val="Hesber"/>
    <w:basedOn w:val="a"/>
    <w:rsid w:val="005128D7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5128D7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5128D7"/>
    <w:rPr>
      <w:vertAlign w:val="superscript"/>
    </w:rPr>
  </w:style>
  <w:style w:type="paragraph" w:customStyle="1" w:styleId="HesberHeading">
    <w:name w:val="Hesber Heading"/>
    <w:basedOn w:val="Hesber"/>
    <w:rsid w:val="005128D7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5128D7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5128D7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5128D7"/>
    <w:rPr>
      <w:vertAlign w:val="superscript"/>
    </w:rPr>
  </w:style>
  <w:style w:type="paragraph" w:customStyle="1" w:styleId="TableBlockOutdent">
    <w:name w:val="Table BlockOutdent"/>
    <w:basedOn w:val="TableBlock"/>
    <w:rsid w:val="005128D7"/>
    <w:pPr>
      <w:ind w:left="624" w:hanging="624"/>
    </w:pPr>
  </w:style>
  <w:style w:type="paragraph" w:styleId="a8">
    <w:name w:val="header"/>
    <w:basedOn w:val="a"/>
    <w:rsid w:val="005128D7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5128D7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5128D7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5128D7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5128D7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2C706D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customStyle="1" w:styleId="P00">
    <w:name w:val="P00"/>
    <w:rsid w:val="002C706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eastAsia="Times New Roman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F8E3A-7776-45DA-A5CD-35C3C488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D7940-D250-4482-B3F6-7DBDDF11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297</Words>
  <Characters>1406</Characters>
  <Application>Microsoft Office Word</Application>
  <DocSecurity>0</DocSecurity>
  <Lines>117</Lines>
  <Paragraphs>56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19</cp:revision>
  <cp:lastPrinted>2016-07-24T08:11:00Z</cp:lastPrinted>
  <dcterms:created xsi:type="dcterms:W3CDTF">2015-04-20T09:58:00Z</dcterms:created>
  <dcterms:modified xsi:type="dcterms:W3CDTF">2016-07-24T08:11:00Z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2005304</vt:r8>
  </property>
</Properties>
</file>