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CF0D9" w14:textId="77777777" w:rsidR="00DC746C" w:rsidRPr="00082A5A" w:rsidRDefault="00DC746C" w:rsidP="00DC746C">
      <w:pPr>
        <w:pStyle w:val="HeadHatzaotHok"/>
        <w:jc w:val="right"/>
        <w:rPr>
          <w:b w:val="0"/>
          <w:bCs w:val="0"/>
          <w:szCs w:val="20"/>
        </w:rPr>
      </w:pPr>
      <w:r w:rsidRPr="00082A5A">
        <w:rPr>
          <w:rFonts w:hint="cs"/>
          <w:b w:val="0"/>
          <w:bCs w:val="0"/>
          <w:szCs w:val="20"/>
          <w:rtl/>
        </w:rPr>
        <w:t xml:space="preserve">מספר פנימי: </w:t>
      </w:r>
      <w:bookmarkStart w:id="0" w:name="LGS_Internal_ID"/>
      <w:r w:rsidRPr="00082A5A">
        <w:rPr>
          <w:rFonts w:hint="cs"/>
          <w:b w:val="0"/>
          <w:bCs w:val="0"/>
          <w:szCs w:val="20"/>
          <w:rtl/>
        </w:rPr>
        <w:t>2004813</w:t>
      </w:r>
      <w:bookmarkEnd w:id="0"/>
    </w:p>
    <w:p w14:paraId="30A07F63" w14:textId="77777777" w:rsidR="00DC746C" w:rsidRPr="00082A5A" w:rsidRDefault="00DC746C" w:rsidP="00DC746C">
      <w:pPr>
        <w:pStyle w:val="HeadHatzaotHok"/>
        <w:rPr>
          <w:sz w:val="26"/>
          <w:rtl/>
        </w:rPr>
      </w:pPr>
      <w:r w:rsidRPr="00082A5A">
        <w:rPr>
          <w:rFonts w:hint="cs"/>
          <w:sz w:val="26"/>
          <w:rtl/>
        </w:rPr>
        <w:t xml:space="preserve">הכנסת </w:t>
      </w:r>
      <w:bookmarkStart w:id="1" w:name="LGS_Knesset_Num"/>
      <w:r w:rsidRPr="00082A5A">
        <w:rPr>
          <w:rFonts w:hint="cs"/>
          <w:sz w:val="26"/>
          <w:rtl/>
        </w:rPr>
        <w:t>העשרים</w:t>
      </w:r>
      <w:bookmarkEnd w:id="1"/>
    </w:p>
    <w:p w14:paraId="1843C88B" w14:textId="77777777" w:rsidR="00DC746C" w:rsidRPr="00082A5A" w:rsidRDefault="00DC746C" w:rsidP="00DC746C">
      <w:pPr>
        <w:rPr>
          <w:rFonts w:cs="David"/>
          <w:b/>
          <w:bCs/>
          <w:sz w:val="26"/>
          <w:szCs w:val="26"/>
          <w:rtl/>
        </w:rPr>
      </w:pPr>
    </w:p>
    <w:p w14:paraId="3FBA7B98" w14:textId="14F33F73" w:rsidR="00DC746C" w:rsidRPr="00082A5A" w:rsidRDefault="00DC746C" w:rsidP="00082A5A">
      <w:pPr>
        <w:pStyle w:val="David"/>
        <w:spacing w:line="360" w:lineRule="auto"/>
        <w:ind w:left="3544"/>
        <w:rPr>
          <w:b/>
          <w:bCs/>
          <w:rtl/>
        </w:rPr>
      </w:pPr>
      <w:bookmarkStart w:id="2" w:name="LGS_Initiators_List"/>
      <w:r w:rsidRPr="00082A5A">
        <w:rPr>
          <w:b/>
          <w:bCs/>
          <w:rtl/>
        </w:rPr>
        <w:t>יוזם:</w:t>
      </w:r>
      <w:r w:rsidRPr="00082A5A">
        <w:tab/>
      </w:r>
      <w:r w:rsidRPr="00082A5A">
        <w:rPr>
          <w:b/>
          <w:bCs/>
          <w:rtl/>
        </w:rPr>
        <w:t xml:space="preserve">      חבר הכנסת</w:t>
      </w:r>
      <w:bookmarkEnd w:id="2"/>
      <w:r w:rsidRPr="00082A5A">
        <w:rPr>
          <w:b/>
          <w:bCs/>
        </w:rPr>
        <w:tab/>
      </w:r>
      <w:bookmarkStart w:id="3" w:name="LGS_PM_Names"/>
      <w:r w:rsidRPr="00082A5A">
        <w:rPr>
          <w:rFonts w:hint="cs"/>
          <w:b/>
          <w:bCs/>
          <w:rtl/>
        </w:rPr>
        <w:t>מיקי רוזנטל</w:t>
      </w:r>
      <w:bookmarkStart w:id="4" w:name="LGS_Join_List"/>
      <w:bookmarkEnd w:id="3"/>
      <w:r w:rsidRPr="00082A5A">
        <w:rPr>
          <w:rtl/>
        </w:rPr>
        <w:t xml:space="preserve"> </w:t>
      </w:r>
      <w:bookmarkEnd w:id="4"/>
      <w:r w:rsidRPr="00082A5A">
        <w:rPr>
          <w:rFonts w:hint="cs"/>
          <w:rtl/>
        </w:rPr>
        <w:tab/>
      </w:r>
      <w:bookmarkStart w:id="5" w:name="LGS_PM_NamesJoin"/>
      <w:r w:rsidRPr="00082A5A">
        <w:rPr>
          <w:rFonts w:hint="cs"/>
          <w:rtl/>
        </w:rPr>
        <w:t xml:space="preserve"> </w:t>
      </w:r>
      <w:bookmarkEnd w:id="5"/>
    </w:p>
    <w:p w14:paraId="3E310953" w14:textId="16B540F9" w:rsidR="00DC746C" w:rsidRPr="00082A5A" w:rsidRDefault="00DC746C" w:rsidP="00082A5A">
      <w:pPr>
        <w:pStyle w:val="David"/>
        <w:spacing w:before="0" w:line="360" w:lineRule="auto"/>
        <w:ind w:left="3544"/>
        <w:rPr>
          <w:rtl/>
        </w:rPr>
      </w:pPr>
      <w:r w:rsidRPr="00082A5A">
        <w:t>______________________________________________</w:t>
      </w:r>
      <w:r w:rsidRPr="00082A5A">
        <w:tab/>
      </w:r>
      <w:r w:rsidRPr="00082A5A">
        <w:rPr>
          <w:rFonts w:hint="cs"/>
          <w:rtl/>
        </w:rPr>
        <w:tab/>
      </w:r>
      <w:r w:rsidRPr="00082A5A">
        <w:rPr>
          <w:rFonts w:hint="cs"/>
          <w:rtl/>
        </w:rPr>
        <w:tab/>
      </w:r>
      <w:r w:rsidRPr="00082A5A">
        <w:rPr>
          <w:rFonts w:hint="cs"/>
          <w:rtl/>
        </w:rPr>
        <w:tab/>
      </w:r>
      <w:bookmarkStart w:id="6" w:name="Private_Number"/>
      <w:r w:rsidR="00082A5A">
        <w:rPr>
          <w:rtl/>
        </w:rPr>
        <w:tab/>
      </w:r>
      <w:r w:rsidRPr="00082A5A">
        <w:rPr>
          <w:rFonts w:hint="cs"/>
          <w:rtl/>
        </w:rPr>
        <w:t>פ/3177/20</w:t>
      </w:r>
      <w:bookmarkEnd w:id="6"/>
    </w:p>
    <w:p w14:paraId="5BB753C5" w14:textId="44050DE5" w:rsidR="00DC746C" w:rsidRPr="008C6688" w:rsidRDefault="00DC746C" w:rsidP="00082A5A">
      <w:pPr>
        <w:pStyle w:val="HeadHatzaotHok"/>
        <w:rPr>
          <w:sz w:val="24"/>
          <w:szCs w:val="24"/>
          <w:rtl/>
        </w:rPr>
      </w:pPr>
      <w:bookmarkStart w:id="7" w:name="LGS_Subject"/>
      <w:r w:rsidRPr="00082A5A">
        <w:rPr>
          <w:rFonts w:hint="cs"/>
          <w:sz w:val="26"/>
          <w:rtl/>
        </w:rPr>
        <w:t>הצעת חוק העונשין (תיקון – מרמה והפרת אמונים), התשע"ו–2016</w:t>
      </w:r>
      <w:bookmarkEnd w:id="7"/>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4026"/>
      </w:tblGrid>
      <w:tr w:rsidR="00DC746C" w14:paraId="48216FE8" w14:textId="77777777" w:rsidTr="00117F8D">
        <w:trPr>
          <w:cantSplit/>
          <w:trHeight w:val="60"/>
        </w:trPr>
        <w:tc>
          <w:tcPr>
            <w:tcW w:w="1871" w:type="dxa"/>
          </w:tcPr>
          <w:p w14:paraId="23158DE6" w14:textId="77777777" w:rsidR="00DC746C" w:rsidRDefault="00DC746C" w:rsidP="00117F8D">
            <w:pPr>
              <w:pStyle w:val="TableSideHeading"/>
              <w:keepLines w:val="0"/>
            </w:pPr>
            <w:r>
              <w:rPr>
                <w:rtl/>
              </w:rPr>
              <w:t xml:space="preserve">החלפת סעיף </w:t>
            </w:r>
            <w:r w:rsidRPr="0016214A">
              <w:rPr>
                <w:rtl/>
              </w:rPr>
              <w:t>284</w:t>
            </w:r>
          </w:p>
        </w:tc>
        <w:tc>
          <w:tcPr>
            <w:tcW w:w="624" w:type="dxa"/>
          </w:tcPr>
          <w:p w14:paraId="0CF18886" w14:textId="63D63024" w:rsidR="00DC746C" w:rsidRDefault="003B3299" w:rsidP="003B3299">
            <w:pPr>
              <w:pStyle w:val="TableText"/>
              <w:keepLines w:val="0"/>
            </w:pPr>
            <w:r>
              <w:rPr>
                <w:rFonts w:hint="cs"/>
                <w:rtl/>
              </w:rPr>
              <w:t>1.</w:t>
            </w:r>
          </w:p>
        </w:tc>
        <w:tc>
          <w:tcPr>
            <w:tcW w:w="7146" w:type="dxa"/>
            <w:gridSpan w:val="6"/>
          </w:tcPr>
          <w:p w14:paraId="290F3999" w14:textId="1C02B570" w:rsidR="00DC746C" w:rsidRPr="00C34DE2" w:rsidRDefault="00DC746C" w:rsidP="00117F8D">
            <w:pPr>
              <w:pStyle w:val="TableBlock"/>
              <w:keepLines w:val="0"/>
            </w:pPr>
            <w:r>
              <w:rPr>
                <w:rtl/>
              </w:rPr>
              <w:t>בחוק העונשין, התשל"</w:t>
            </w:r>
            <w:r>
              <w:rPr>
                <w:rFonts w:hint="cs"/>
                <w:rtl/>
              </w:rPr>
              <w:t>ז</w:t>
            </w:r>
            <w:r>
              <w:rPr>
                <w:rtl/>
              </w:rPr>
              <w:t>–</w:t>
            </w:r>
            <w:r w:rsidRPr="0016214A">
              <w:rPr>
                <w:rtl/>
              </w:rPr>
              <w:t>1977</w:t>
            </w:r>
            <w:r w:rsidR="00082A5A">
              <w:rPr>
                <w:rStyle w:val="a5"/>
                <w:rtl/>
              </w:rPr>
              <w:footnoteReference w:id="2"/>
            </w:r>
            <w:r w:rsidRPr="0016214A">
              <w:rPr>
                <w:rtl/>
              </w:rPr>
              <w:t>, במקום סעיף 284 יבוא:</w:t>
            </w:r>
          </w:p>
        </w:tc>
      </w:tr>
      <w:tr w:rsidR="00DC746C" w14:paraId="55C294FF" w14:textId="77777777" w:rsidTr="00117F8D">
        <w:trPr>
          <w:cantSplit/>
          <w:trHeight w:val="60"/>
        </w:trPr>
        <w:tc>
          <w:tcPr>
            <w:tcW w:w="1871" w:type="dxa"/>
          </w:tcPr>
          <w:p w14:paraId="45CF0281" w14:textId="77777777" w:rsidR="00DC746C" w:rsidRDefault="00DC746C" w:rsidP="00117F8D">
            <w:pPr>
              <w:pStyle w:val="TableSideHeading"/>
              <w:keepLines w:val="0"/>
            </w:pPr>
          </w:p>
        </w:tc>
        <w:tc>
          <w:tcPr>
            <w:tcW w:w="624" w:type="dxa"/>
          </w:tcPr>
          <w:p w14:paraId="319FE5EE" w14:textId="77777777" w:rsidR="00DC746C" w:rsidRDefault="00DC746C" w:rsidP="00117F8D">
            <w:pPr>
              <w:pStyle w:val="TableText"/>
              <w:keepLines w:val="0"/>
            </w:pPr>
          </w:p>
        </w:tc>
        <w:tc>
          <w:tcPr>
            <w:tcW w:w="1872" w:type="dxa"/>
            <w:gridSpan w:val="3"/>
          </w:tcPr>
          <w:p w14:paraId="5E44B7D9" w14:textId="77777777" w:rsidR="00DC746C" w:rsidRDefault="00DC746C" w:rsidP="00117F8D">
            <w:pPr>
              <w:pStyle w:val="TableInnerSideHeading"/>
            </w:pPr>
            <w:r>
              <w:rPr>
                <w:rtl/>
              </w:rPr>
              <w:t>"מרמה והפרת אמונים</w:t>
            </w:r>
          </w:p>
        </w:tc>
        <w:tc>
          <w:tcPr>
            <w:tcW w:w="624" w:type="dxa"/>
          </w:tcPr>
          <w:p w14:paraId="0D4DD840" w14:textId="77777777" w:rsidR="00DC746C" w:rsidRDefault="00DC746C" w:rsidP="00117F8D">
            <w:pPr>
              <w:pStyle w:val="TableText"/>
            </w:pPr>
            <w:r>
              <w:rPr>
                <w:rFonts w:hint="cs"/>
                <w:rtl/>
              </w:rPr>
              <w:t>284.</w:t>
            </w:r>
          </w:p>
        </w:tc>
        <w:tc>
          <w:tcPr>
            <w:tcW w:w="4650" w:type="dxa"/>
            <w:gridSpan w:val="2"/>
          </w:tcPr>
          <w:p w14:paraId="7E6DCF9C" w14:textId="77777777" w:rsidR="00DC746C" w:rsidRDefault="00DC746C" w:rsidP="00117F8D">
            <w:pPr>
              <w:pStyle w:val="TableBlock"/>
            </w:pPr>
            <w:r>
              <w:rPr>
                <w:rtl/>
              </w:rPr>
              <w:t>(א)</w:t>
            </w:r>
            <w:r>
              <w:rPr>
                <w:rtl/>
              </w:rPr>
              <w:tab/>
            </w:r>
            <w:r w:rsidRPr="0016214A">
              <w:rPr>
                <w:rtl/>
              </w:rPr>
              <w:t>עובד הציבור העושה מעשה מרמה או הפרת אמונים שיש בו כדי לפגוע פגיעה מהותית בערכי טוהר המידות של עובדי הציבור, באמון הציבור בשירות הציבורי, או בפעולתו התקינה של השירות הציבורי ובכלל זה באינטרס הציבורי עליו מופקד עובד הציבור או הגוף הציבורי ב</w:t>
            </w:r>
            <w:r>
              <w:rPr>
                <w:rtl/>
              </w:rPr>
              <w:t>ו הוא נושא משרה או תפקיד, דינו</w:t>
            </w:r>
            <w:r>
              <w:rPr>
                <w:rFonts w:hint="cs"/>
                <w:rtl/>
              </w:rPr>
              <w:t xml:space="preserve"> </w:t>
            </w:r>
            <w:r>
              <w:rPr>
                <w:rtl/>
              </w:rPr>
              <w:t>–</w:t>
            </w:r>
            <w:r>
              <w:rPr>
                <w:rFonts w:hint="cs"/>
                <w:rtl/>
              </w:rPr>
              <w:t xml:space="preserve"> </w:t>
            </w:r>
            <w:r w:rsidRPr="0016214A">
              <w:rPr>
                <w:rtl/>
              </w:rPr>
              <w:t>מאסר שלוש שנים.</w:t>
            </w:r>
          </w:p>
        </w:tc>
      </w:tr>
      <w:tr w:rsidR="00DC746C" w14:paraId="208CBCB0" w14:textId="77777777" w:rsidTr="00117F8D">
        <w:trPr>
          <w:cantSplit/>
          <w:trHeight w:val="60"/>
        </w:trPr>
        <w:tc>
          <w:tcPr>
            <w:tcW w:w="1871" w:type="dxa"/>
          </w:tcPr>
          <w:p w14:paraId="24DAE842" w14:textId="77777777" w:rsidR="00DC746C" w:rsidRDefault="00DC746C" w:rsidP="00117F8D">
            <w:pPr>
              <w:pStyle w:val="TableSideHeading"/>
            </w:pPr>
          </w:p>
        </w:tc>
        <w:tc>
          <w:tcPr>
            <w:tcW w:w="624" w:type="dxa"/>
          </w:tcPr>
          <w:p w14:paraId="7D0CFBD9" w14:textId="77777777" w:rsidR="00DC746C" w:rsidRDefault="00DC746C" w:rsidP="00117F8D">
            <w:pPr>
              <w:pStyle w:val="TableText"/>
            </w:pPr>
          </w:p>
        </w:tc>
        <w:tc>
          <w:tcPr>
            <w:tcW w:w="624" w:type="dxa"/>
          </w:tcPr>
          <w:p w14:paraId="7626A5CC" w14:textId="77777777" w:rsidR="00DC746C" w:rsidRDefault="00DC746C" w:rsidP="00117F8D">
            <w:pPr>
              <w:pStyle w:val="TableText"/>
            </w:pPr>
          </w:p>
        </w:tc>
        <w:tc>
          <w:tcPr>
            <w:tcW w:w="624" w:type="dxa"/>
          </w:tcPr>
          <w:p w14:paraId="43B36797" w14:textId="77777777" w:rsidR="00DC746C" w:rsidRDefault="00DC746C" w:rsidP="00117F8D">
            <w:pPr>
              <w:pStyle w:val="TableText"/>
            </w:pPr>
          </w:p>
        </w:tc>
        <w:tc>
          <w:tcPr>
            <w:tcW w:w="624" w:type="dxa"/>
          </w:tcPr>
          <w:p w14:paraId="5499D5A9" w14:textId="77777777" w:rsidR="00DC746C" w:rsidRDefault="00DC746C" w:rsidP="00117F8D">
            <w:pPr>
              <w:pStyle w:val="TableText"/>
            </w:pPr>
          </w:p>
        </w:tc>
        <w:tc>
          <w:tcPr>
            <w:tcW w:w="624" w:type="dxa"/>
          </w:tcPr>
          <w:p w14:paraId="2CA68B03" w14:textId="77777777" w:rsidR="00DC746C" w:rsidRDefault="00DC746C" w:rsidP="00117F8D">
            <w:pPr>
              <w:pStyle w:val="TableText"/>
            </w:pPr>
          </w:p>
        </w:tc>
        <w:tc>
          <w:tcPr>
            <w:tcW w:w="4650" w:type="dxa"/>
            <w:gridSpan w:val="2"/>
          </w:tcPr>
          <w:p w14:paraId="0C2FCB09" w14:textId="77777777" w:rsidR="00DC746C" w:rsidRDefault="00DC746C" w:rsidP="00117F8D">
            <w:pPr>
              <w:pStyle w:val="TableBlock"/>
            </w:pPr>
            <w:r>
              <w:rPr>
                <w:rtl/>
              </w:rPr>
              <w:t>(ב)</w:t>
            </w:r>
            <w:r>
              <w:rPr>
                <w:rtl/>
              </w:rPr>
              <w:tab/>
            </w:r>
            <w:r w:rsidRPr="0016214A">
              <w:rPr>
                <w:rtl/>
              </w:rPr>
              <w:t xml:space="preserve">לעניין סעיף </w:t>
            </w:r>
            <w:r>
              <w:rPr>
                <w:rtl/>
              </w:rPr>
              <w:t>זה, "מעשה מרמה או הפרת אמונים"</w:t>
            </w:r>
            <w:r>
              <w:rPr>
                <w:rFonts w:hint="cs"/>
                <w:rtl/>
              </w:rPr>
              <w:t xml:space="preserve"> </w:t>
            </w:r>
            <w:r>
              <w:rPr>
                <w:rtl/>
              </w:rPr>
              <w:t>–</w:t>
            </w:r>
            <w:r w:rsidRPr="0016214A">
              <w:rPr>
                <w:rtl/>
              </w:rPr>
              <w:t xml:space="preserve"> אחד מאלה:</w:t>
            </w:r>
          </w:p>
        </w:tc>
      </w:tr>
      <w:tr w:rsidR="00DC746C" w14:paraId="65F450A4" w14:textId="77777777" w:rsidTr="00117F8D">
        <w:trPr>
          <w:cantSplit/>
          <w:trHeight w:val="60"/>
        </w:trPr>
        <w:tc>
          <w:tcPr>
            <w:tcW w:w="1871" w:type="dxa"/>
          </w:tcPr>
          <w:p w14:paraId="522F6A0D" w14:textId="77777777" w:rsidR="00DC746C" w:rsidRDefault="00DC746C" w:rsidP="00117F8D">
            <w:pPr>
              <w:pStyle w:val="TableSideHeading"/>
            </w:pPr>
          </w:p>
        </w:tc>
        <w:tc>
          <w:tcPr>
            <w:tcW w:w="624" w:type="dxa"/>
          </w:tcPr>
          <w:p w14:paraId="000464D2" w14:textId="77777777" w:rsidR="00DC746C" w:rsidRDefault="00DC746C" w:rsidP="00117F8D">
            <w:pPr>
              <w:pStyle w:val="TableText"/>
            </w:pPr>
          </w:p>
        </w:tc>
        <w:tc>
          <w:tcPr>
            <w:tcW w:w="624" w:type="dxa"/>
          </w:tcPr>
          <w:p w14:paraId="439C7593" w14:textId="77777777" w:rsidR="00DC746C" w:rsidRDefault="00DC746C" w:rsidP="00117F8D">
            <w:pPr>
              <w:pStyle w:val="TableText"/>
            </w:pPr>
          </w:p>
        </w:tc>
        <w:tc>
          <w:tcPr>
            <w:tcW w:w="624" w:type="dxa"/>
          </w:tcPr>
          <w:p w14:paraId="64576576" w14:textId="77777777" w:rsidR="00DC746C" w:rsidRDefault="00DC746C" w:rsidP="00117F8D">
            <w:pPr>
              <w:pStyle w:val="TableText"/>
            </w:pPr>
          </w:p>
        </w:tc>
        <w:tc>
          <w:tcPr>
            <w:tcW w:w="624" w:type="dxa"/>
          </w:tcPr>
          <w:p w14:paraId="07DC5E80" w14:textId="77777777" w:rsidR="00DC746C" w:rsidRDefault="00DC746C" w:rsidP="00117F8D">
            <w:pPr>
              <w:pStyle w:val="TableText"/>
            </w:pPr>
          </w:p>
        </w:tc>
        <w:tc>
          <w:tcPr>
            <w:tcW w:w="624" w:type="dxa"/>
          </w:tcPr>
          <w:p w14:paraId="2C2206EE" w14:textId="77777777" w:rsidR="00DC746C" w:rsidRDefault="00DC746C" w:rsidP="00117F8D">
            <w:pPr>
              <w:pStyle w:val="TableText"/>
            </w:pPr>
          </w:p>
        </w:tc>
        <w:tc>
          <w:tcPr>
            <w:tcW w:w="624" w:type="dxa"/>
          </w:tcPr>
          <w:p w14:paraId="3070954E" w14:textId="77777777" w:rsidR="00DC746C" w:rsidRDefault="00DC746C" w:rsidP="00117F8D">
            <w:pPr>
              <w:pStyle w:val="TableText"/>
            </w:pPr>
          </w:p>
        </w:tc>
        <w:tc>
          <w:tcPr>
            <w:tcW w:w="4026" w:type="dxa"/>
          </w:tcPr>
          <w:p w14:paraId="6A1C97B1" w14:textId="77777777" w:rsidR="00DC746C" w:rsidRDefault="00DC746C" w:rsidP="00117F8D">
            <w:pPr>
              <w:pStyle w:val="TableBlock"/>
            </w:pPr>
            <w:r>
              <w:rPr>
                <w:rtl/>
              </w:rPr>
              <w:t>(1)</w:t>
            </w:r>
            <w:r>
              <w:rPr>
                <w:rtl/>
              </w:rPr>
              <w:tab/>
            </w:r>
            <w:r w:rsidRPr="0016214A">
              <w:rPr>
                <w:rtl/>
              </w:rPr>
              <w:t>מעשה שנעשה בקשר עם מילוי תפקידו או תוך שימוש במעמדו כעובד הציבור במצב של ניגוד עניינים, שהשפיע או שעשוי היה להשפיע על עניין אישי של עובד הציבור או של קרוב;</w:t>
            </w:r>
          </w:p>
        </w:tc>
      </w:tr>
      <w:tr w:rsidR="00DC746C" w14:paraId="1675B192" w14:textId="77777777" w:rsidTr="00117F8D">
        <w:trPr>
          <w:cantSplit/>
          <w:trHeight w:val="60"/>
        </w:trPr>
        <w:tc>
          <w:tcPr>
            <w:tcW w:w="1871" w:type="dxa"/>
          </w:tcPr>
          <w:p w14:paraId="68C6A0A2" w14:textId="77777777" w:rsidR="00DC746C" w:rsidRDefault="00DC746C" w:rsidP="00117F8D">
            <w:pPr>
              <w:pStyle w:val="TableSideHeading"/>
            </w:pPr>
          </w:p>
        </w:tc>
        <w:tc>
          <w:tcPr>
            <w:tcW w:w="624" w:type="dxa"/>
          </w:tcPr>
          <w:p w14:paraId="270D46C3" w14:textId="77777777" w:rsidR="00DC746C" w:rsidRDefault="00DC746C" w:rsidP="00117F8D">
            <w:pPr>
              <w:pStyle w:val="TableText"/>
            </w:pPr>
          </w:p>
        </w:tc>
        <w:tc>
          <w:tcPr>
            <w:tcW w:w="624" w:type="dxa"/>
          </w:tcPr>
          <w:p w14:paraId="43606D7F" w14:textId="77777777" w:rsidR="00DC746C" w:rsidRDefault="00DC746C" w:rsidP="00117F8D">
            <w:pPr>
              <w:pStyle w:val="TableText"/>
            </w:pPr>
          </w:p>
        </w:tc>
        <w:tc>
          <w:tcPr>
            <w:tcW w:w="624" w:type="dxa"/>
          </w:tcPr>
          <w:p w14:paraId="655585FD" w14:textId="77777777" w:rsidR="00DC746C" w:rsidRDefault="00DC746C" w:rsidP="00117F8D">
            <w:pPr>
              <w:pStyle w:val="TableText"/>
            </w:pPr>
          </w:p>
        </w:tc>
        <w:tc>
          <w:tcPr>
            <w:tcW w:w="624" w:type="dxa"/>
          </w:tcPr>
          <w:p w14:paraId="1D02277C" w14:textId="77777777" w:rsidR="00DC746C" w:rsidRDefault="00DC746C" w:rsidP="00117F8D">
            <w:pPr>
              <w:pStyle w:val="TableText"/>
            </w:pPr>
          </w:p>
        </w:tc>
        <w:tc>
          <w:tcPr>
            <w:tcW w:w="624" w:type="dxa"/>
          </w:tcPr>
          <w:p w14:paraId="76B17B16" w14:textId="77777777" w:rsidR="00DC746C" w:rsidRDefault="00DC746C" w:rsidP="00117F8D">
            <w:pPr>
              <w:pStyle w:val="TableText"/>
            </w:pPr>
          </w:p>
        </w:tc>
        <w:tc>
          <w:tcPr>
            <w:tcW w:w="624" w:type="dxa"/>
          </w:tcPr>
          <w:p w14:paraId="11CC004B" w14:textId="77777777" w:rsidR="00DC746C" w:rsidRDefault="00DC746C" w:rsidP="00117F8D">
            <w:pPr>
              <w:pStyle w:val="TableText"/>
            </w:pPr>
          </w:p>
        </w:tc>
        <w:tc>
          <w:tcPr>
            <w:tcW w:w="4026" w:type="dxa"/>
          </w:tcPr>
          <w:p w14:paraId="5A33F61E" w14:textId="77777777" w:rsidR="00DC746C" w:rsidRDefault="00DC746C" w:rsidP="00117F8D">
            <w:pPr>
              <w:pStyle w:val="TableBlock"/>
              <w:rPr>
                <w:rtl/>
              </w:rPr>
            </w:pPr>
            <w:r>
              <w:rPr>
                <w:rFonts w:hint="cs"/>
                <w:rtl/>
              </w:rPr>
              <w:t>(2)</w:t>
            </w:r>
            <w:r>
              <w:rPr>
                <w:rtl/>
              </w:rPr>
              <w:tab/>
            </w:r>
            <w:r w:rsidRPr="0016214A">
              <w:rPr>
                <w:rtl/>
              </w:rPr>
              <w:t xml:space="preserve">קבלת טובת הנאה על </w:t>
            </w:r>
            <w:r>
              <w:rPr>
                <w:rtl/>
              </w:rPr>
              <w:t xml:space="preserve">ידי עובד הציבור או על ידי קרוב </w:t>
            </w:r>
            <w:r w:rsidRPr="0016214A">
              <w:rPr>
                <w:rtl/>
              </w:rPr>
              <w:t>אש</w:t>
            </w:r>
            <w:r>
              <w:rPr>
                <w:rtl/>
              </w:rPr>
              <w:t>ר ניתנה לעובד הציבור, או לקרוב,</w:t>
            </w:r>
            <w:r>
              <w:rPr>
                <w:rFonts w:hint="cs"/>
                <w:rtl/>
              </w:rPr>
              <w:t xml:space="preserve"> </w:t>
            </w:r>
            <w:r w:rsidRPr="0016214A">
              <w:rPr>
                <w:rtl/>
              </w:rPr>
              <w:t>באשר הוא עובד הציבור, למעט קבלת טובת הנאה המותרת על פי דין;</w:t>
            </w:r>
          </w:p>
        </w:tc>
      </w:tr>
      <w:tr w:rsidR="00DC746C" w14:paraId="6005FA6F" w14:textId="77777777" w:rsidTr="00117F8D">
        <w:trPr>
          <w:cantSplit/>
          <w:trHeight w:val="60"/>
        </w:trPr>
        <w:tc>
          <w:tcPr>
            <w:tcW w:w="1871" w:type="dxa"/>
          </w:tcPr>
          <w:p w14:paraId="3C29EB42" w14:textId="77777777" w:rsidR="00DC746C" w:rsidRDefault="00DC746C" w:rsidP="00117F8D">
            <w:pPr>
              <w:pStyle w:val="TableSideHeading"/>
            </w:pPr>
          </w:p>
        </w:tc>
        <w:tc>
          <w:tcPr>
            <w:tcW w:w="624" w:type="dxa"/>
          </w:tcPr>
          <w:p w14:paraId="2F3305D0" w14:textId="77777777" w:rsidR="00DC746C" w:rsidRDefault="00DC746C" w:rsidP="00117F8D">
            <w:pPr>
              <w:pStyle w:val="TableText"/>
            </w:pPr>
          </w:p>
        </w:tc>
        <w:tc>
          <w:tcPr>
            <w:tcW w:w="624" w:type="dxa"/>
          </w:tcPr>
          <w:p w14:paraId="5372D74D" w14:textId="77777777" w:rsidR="00DC746C" w:rsidRDefault="00DC746C" w:rsidP="00117F8D">
            <w:pPr>
              <w:pStyle w:val="TableText"/>
            </w:pPr>
          </w:p>
        </w:tc>
        <w:tc>
          <w:tcPr>
            <w:tcW w:w="624" w:type="dxa"/>
          </w:tcPr>
          <w:p w14:paraId="77BA7D89" w14:textId="77777777" w:rsidR="00DC746C" w:rsidRDefault="00DC746C" w:rsidP="00117F8D">
            <w:pPr>
              <w:pStyle w:val="TableText"/>
            </w:pPr>
          </w:p>
        </w:tc>
        <w:tc>
          <w:tcPr>
            <w:tcW w:w="624" w:type="dxa"/>
          </w:tcPr>
          <w:p w14:paraId="486EE56F" w14:textId="77777777" w:rsidR="00DC746C" w:rsidRDefault="00DC746C" w:rsidP="00117F8D">
            <w:pPr>
              <w:pStyle w:val="TableText"/>
            </w:pPr>
          </w:p>
        </w:tc>
        <w:tc>
          <w:tcPr>
            <w:tcW w:w="624" w:type="dxa"/>
          </w:tcPr>
          <w:p w14:paraId="6164A61E" w14:textId="77777777" w:rsidR="00DC746C" w:rsidRDefault="00DC746C" w:rsidP="00117F8D">
            <w:pPr>
              <w:pStyle w:val="TableText"/>
            </w:pPr>
          </w:p>
        </w:tc>
        <w:tc>
          <w:tcPr>
            <w:tcW w:w="624" w:type="dxa"/>
          </w:tcPr>
          <w:p w14:paraId="6D45C215" w14:textId="77777777" w:rsidR="00DC746C" w:rsidRDefault="00DC746C" w:rsidP="00117F8D">
            <w:pPr>
              <w:pStyle w:val="TableText"/>
            </w:pPr>
          </w:p>
        </w:tc>
        <w:tc>
          <w:tcPr>
            <w:tcW w:w="4026" w:type="dxa"/>
          </w:tcPr>
          <w:p w14:paraId="2833A321" w14:textId="0AF2988B" w:rsidR="00DC746C" w:rsidRDefault="00DC746C" w:rsidP="00117F8D">
            <w:pPr>
              <w:pStyle w:val="TableBlock"/>
              <w:rPr>
                <w:rtl/>
              </w:rPr>
            </w:pPr>
            <w:r>
              <w:rPr>
                <w:rtl/>
              </w:rPr>
              <w:t>(3)</w:t>
            </w:r>
            <w:r>
              <w:rPr>
                <w:rtl/>
              </w:rPr>
              <w:tab/>
              <w:t xml:space="preserve">שימוש במידע פנימי שהגיע לעובד הציבור במסגרת תפקידו או בקשר עם מילוי תפקידו, לרבות העברת מידע כאמור לאחר, והכל לשם הפקת טובת הנאה </w:t>
            </w:r>
            <w:r w:rsidR="002D43CD">
              <w:rPr>
                <w:rtl/>
              </w:rPr>
              <w:t>לעובד הציבור או לקרוב; לעניין פ</w:t>
            </w:r>
            <w:r>
              <w:rPr>
                <w:rtl/>
              </w:rPr>
              <w:t>סקה זו אין נפקא מינה אם בעת השימוש במידע היה העושה עובד ציבור, ובלבד שהיה עובד ציבור בעת שהמידע הגיע אליו;</w:t>
            </w:r>
            <w:r>
              <w:rPr>
                <w:rFonts w:hint="cs"/>
                <w:rtl/>
              </w:rPr>
              <w:t xml:space="preserve"> </w:t>
            </w:r>
            <w:r w:rsidR="002D43CD">
              <w:rPr>
                <w:rFonts w:hint="cs"/>
                <w:rtl/>
              </w:rPr>
              <w:t>ב</w:t>
            </w:r>
            <w:r>
              <w:rPr>
                <w:rtl/>
              </w:rPr>
              <w:t>פסקה זו</w:t>
            </w:r>
            <w:r w:rsidR="002D43CD">
              <w:rPr>
                <w:rFonts w:hint="cs"/>
                <w:rtl/>
              </w:rPr>
              <w:t>,</w:t>
            </w:r>
            <w:r>
              <w:rPr>
                <w:rtl/>
              </w:rPr>
              <w:t xml:space="preserve"> "מידע פנימי"</w:t>
            </w:r>
            <w:r>
              <w:rPr>
                <w:rFonts w:hint="cs"/>
                <w:rtl/>
              </w:rPr>
              <w:t xml:space="preserve"> </w:t>
            </w:r>
            <w:r>
              <w:rPr>
                <w:rtl/>
              </w:rPr>
              <w:t>– מידע שלא פורסם לציבור ולא היה אמור להתפרסם באותה עת, ואשר תוכנו, צורתו, מקורו, נסיבות קבלתו או סדרי החזקתו מעידים על החובה לשומרו בסוד, אף אם המידע עתיד להתפרסם;</w:t>
            </w:r>
          </w:p>
        </w:tc>
      </w:tr>
      <w:tr w:rsidR="00DC746C" w14:paraId="64AE20F2" w14:textId="77777777" w:rsidTr="00117F8D">
        <w:trPr>
          <w:cantSplit/>
          <w:trHeight w:val="60"/>
        </w:trPr>
        <w:tc>
          <w:tcPr>
            <w:tcW w:w="1871" w:type="dxa"/>
          </w:tcPr>
          <w:p w14:paraId="60655F2C" w14:textId="77777777" w:rsidR="00DC746C" w:rsidRDefault="00DC746C" w:rsidP="00117F8D">
            <w:pPr>
              <w:pStyle w:val="TableSideHeading"/>
            </w:pPr>
          </w:p>
        </w:tc>
        <w:tc>
          <w:tcPr>
            <w:tcW w:w="624" w:type="dxa"/>
          </w:tcPr>
          <w:p w14:paraId="2C00F593" w14:textId="77777777" w:rsidR="00DC746C" w:rsidRDefault="00DC746C" w:rsidP="00117F8D">
            <w:pPr>
              <w:pStyle w:val="TableText"/>
            </w:pPr>
          </w:p>
        </w:tc>
        <w:tc>
          <w:tcPr>
            <w:tcW w:w="624" w:type="dxa"/>
          </w:tcPr>
          <w:p w14:paraId="3BD9D308" w14:textId="77777777" w:rsidR="00DC746C" w:rsidRDefault="00DC746C" w:rsidP="00117F8D">
            <w:pPr>
              <w:pStyle w:val="TableText"/>
            </w:pPr>
          </w:p>
        </w:tc>
        <w:tc>
          <w:tcPr>
            <w:tcW w:w="624" w:type="dxa"/>
          </w:tcPr>
          <w:p w14:paraId="2E81B073" w14:textId="77777777" w:rsidR="00DC746C" w:rsidRDefault="00DC746C" w:rsidP="00117F8D">
            <w:pPr>
              <w:pStyle w:val="TableText"/>
            </w:pPr>
          </w:p>
        </w:tc>
        <w:tc>
          <w:tcPr>
            <w:tcW w:w="624" w:type="dxa"/>
          </w:tcPr>
          <w:p w14:paraId="405AFDC0" w14:textId="77777777" w:rsidR="00DC746C" w:rsidRDefault="00DC746C" w:rsidP="00117F8D">
            <w:pPr>
              <w:pStyle w:val="TableText"/>
            </w:pPr>
          </w:p>
        </w:tc>
        <w:tc>
          <w:tcPr>
            <w:tcW w:w="624" w:type="dxa"/>
          </w:tcPr>
          <w:p w14:paraId="7DC57DA5" w14:textId="77777777" w:rsidR="00DC746C" w:rsidRDefault="00DC746C" w:rsidP="00117F8D">
            <w:pPr>
              <w:pStyle w:val="TableText"/>
            </w:pPr>
          </w:p>
        </w:tc>
        <w:tc>
          <w:tcPr>
            <w:tcW w:w="624" w:type="dxa"/>
          </w:tcPr>
          <w:p w14:paraId="1C722D69" w14:textId="77777777" w:rsidR="00DC746C" w:rsidRDefault="00DC746C" w:rsidP="00117F8D">
            <w:pPr>
              <w:pStyle w:val="TableText"/>
            </w:pPr>
          </w:p>
        </w:tc>
        <w:tc>
          <w:tcPr>
            <w:tcW w:w="4026" w:type="dxa"/>
          </w:tcPr>
          <w:p w14:paraId="6344E265" w14:textId="77777777" w:rsidR="00DC746C" w:rsidRDefault="00DC746C" w:rsidP="00117F8D">
            <w:pPr>
              <w:pStyle w:val="TableBlock"/>
              <w:rPr>
                <w:rtl/>
              </w:rPr>
            </w:pPr>
            <w:r>
              <w:rPr>
                <w:rFonts w:hint="cs"/>
                <w:rtl/>
              </w:rPr>
              <w:t>(4)</w:t>
            </w:r>
            <w:r>
              <w:rPr>
                <w:rtl/>
              </w:rPr>
              <w:tab/>
            </w:r>
            <w:r w:rsidRPr="0016214A">
              <w:rPr>
                <w:rtl/>
              </w:rPr>
              <w:t>יצירת מצג שווא כלפי גוף ציבורי, או מסירת דיווח כוזב או מידע כוזב לגוף ציבורי, והכל בקשר עם מילוי תפקידו או תוך שימוש במעמדו, וכאשר יש בכך כדי להשפיע על שיקול דעתו או ביצוע תפקידו של הגוף ה</w:t>
            </w:r>
            <w:r>
              <w:rPr>
                <w:rtl/>
              </w:rPr>
              <w:t>ציבורי; בפסקה זו, "גוף ציבורי"</w:t>
            </w:r>
            <w:r>
              <w:rPr>
                <w:rFonts w:hint="cs"/>
                <w:rtl/>
              </w:rPr>
              <w:t xml:space="preserve"> </w:t>
            </w:r>
            <w:r>
              <w:rPr>
                <w:rtl/>
              </w:rPr>
              <w:t>–</w:t>
            </w:r>
            <w:r>
              <w:rPr>
                <w:rFonts w:hint="cs"/>
                <w:rtl/>
              </w:rPr>
              <w:t xml:space="preserve"> </w:t>
            </w:r>
            <w:r w:rsidRPr="0016214A">
              <w:rPr>
                <w:rtl/>
              </w:rPr>
              <w:t>לרבות רשות מרשויות השלטון וכל גוף ציבורי אחר הממלא תפקיד ציבורי על</w:t>
            </w:r>
            <w:r>
              <w:rPr>
                <w:rtl/>
              </w:rPr>
              <w:t xml:space="preserve"> פי דין, ומי שפועל מטעמם</w:t>
            </w:r>
            <w:r>
              <w:rPr>
                <w:rFonts w:hint="cs"/>
                <w:rtl/>
              </w:rPr>
              <w:t>,</w:t>
            </w:r>
            <w:r>
              <w:rPr>
                <w:rtl/>
              </w:rPr>
              <w:t xml:space="preserve"> "מצג שווא"</w:t>
            </w:r>
            <w:r>
              <w:rPr>
                <w:rFonts w:hint="cs"/>
                <w:rtl/>
              </w:rPr>
              <w:t xml:space="preserve"> </w:t>
            </w:r>
            <w:r>
              <w:rPr>
                <w:rtl/>
              </w:rPr>
              <w:t>–</w:t>
            </w:r>
            <w:r w:rsidRPr="0016214A">
              <w:rPr>
                <w:rtl/>
              </w:rPr>
              <w:t xml:space="preserve"> לרבות הסתרת מידע מהותי שבנסיבות העניין היה מוטל על עובד הציבור לגלותו לגוף הציבורי בכוונה לרמות;</w:t>
            </w:r>
          </w:p>
        </w:tc>
      </w:tr>
      <w:tr w:rsidR="00DC746C" w14:paraId="52B01B2A" w14:textId="77777777" w:rsidTr="00117F8D">
        <w:trPr>
          <w:cantSplit/>
          <w:trHeight w:val="60"/>
        </w:trPr>
        <w:tc>
          <w:tcPr>
            <w:tcW w:w="1871" w:type="dxa"/>
          </w:tcPr>
          <w:p w14:paraId="0732BF1B" w14:textId="77777777" w:rsidR="00DC746C" w:rsidRDefault="00DC746C" w:rsidP="00117F8D">
            <w:pPr>
              <w:pStyle w:val="TableSideHeading"/>
            </w:pPr>
          </w:p>
        </w:tc>
        <w:tc>
          <w:tcPr>
            <w:tcW w:w="624" w:type="dxa"/>
          </w:tcPr>
          <w:p w14:paraId="40DA2475" w14:textId="77777777" w:rsidR="00DC746C" w:rsidRDefault="00DC746C" w:rsidP="00117F8D">
            <w:pPr>
              <w:pStyle w:val="TableText"/>
            </w:pPr>
          </w:p>
        </w:tc>
        <w:tc>
          <w:tcPr>
            <w:tcW w:w="624" w:type="dxa"/>
          </w:tcPr>
          <w:p w14:paraId="0BB57872" w14:textId="77777777" w:rsidR="00DC746C" w:rsidRDefault="00DC746C" w:rsidP="00117F8D">
            <w:pPr>
              <w:pStyle w:val="TableText"/>
            </w:pPr>
          </w:p>
        </w:tc>
        <w:tc>
          <w:tcPr>
            <w:tcW w:w="624" w:type="dxa"/>
          </w:tcPr>
          <w:p w14:paraId="4BDA5C05" w14:textId="77777777" w:rsidR="00DC746C" w:rsidRDefault="00DC746C" w:rsidP="00117F8D">
            <w:pPr>
              <w:pStyle w:val="TableText"/>
            </w:pPr>
          </w:p>
        </w:tc>
        <w:tc>
          <w:tcPr>
            <w:tcW w:w="624" w:type="dxa"/>
          </w:tcPr>
          <w:p w14:paraId="130904E9" w14:textId="77777777" w:rsidR="00DC746C" w:rsidRDefault="00DC746C" w:rsidP="00117F8D">
            <w:pPr>
              <w:pStyle w:val="TableText"/>
            </w:pPr>
          </w:p>
        </w:tc>
        <w:tc>
          <w:tcPr>
            <w:tcW w:w="624" w:type="dxa"/>
          </w:tcPr>
          <w:p w14:paraId="5C0E10FF" w14:textId="77777777" w:rsidR="00DC746C" w:rsidRDefault="00DC746C" w:rsidP="00117F8D">
            <w:pPr>
              <w:pStyle w:val="TableText"/>
            </w:pPr>
          </w:p>
        </w:tc>
        <w:tc>
          <w:tcPr>
            <w:tcW w:w="624" w:type="dxa"/>
          </w:tcPr>
          <w:p w14:paraId="22AEE2E0" w14:textId="77777777" w:rsidR="00DC746C" w:rsidRDefault="00DC746C" w:rsidP="00117F8D">
            <w:pPr>
              <w:pStyle w:val="TableText"/>
            </w:pPr>
          </w:p>
        </w:tc>
        <w:tc>
          <w:tcPr>
            <w:tcW w:w="4026" w:type="dxa"/>
          </w:tcPr>
          <w:p w14:paraId="2A4275DB" w14:textId="77777777" w:rsidR="00DC746C" w:rsidRPr="003408B6" w:rsidRDefault="00DC746C" w:rsidP="00117F8D">
            <w:pPr>
              <w:pStyle w:val="TableBlock"/>
              <w:rPr>
                <w:rtl/>
              </w:rPr>
            </w:pPr>
            <w:r>
              <w:rPr>
                <w:rFonts w:hint="cs"/>
                <w:rtl/>
              </w:rPr>
              <w:t>(</w:t>
            </w:r>
            <w:r>
              <w:rPr>
                <w:rtl/>
              </w:rPr>
              <w:t>5)</w:t>
            </w:r>
            <w:r>
              <w:rPr>
                <w:rtl/>
              </w:rPr>
              <w:tab/>
            </w:r>
            <w:r w:rsidRPr="0016214A">
              <w:rPr>
                <w:rtl/>
              </w:rPr>
              <w:t>יצירת מצג שווא או מסירת מידע כוזב במסגרת תפקידו כעובד ציבור לאדם שאינו עובד ציבור, והכל אם יש בכך כדי להשפיע על זכותו של אדם; בפסקה זו, "מצג שווא" - לרבות הסתרת מידע מהותי אשר בנסיבות העניין היה מוטל על עובד הציבור לגלותו, בכוונה לרמות;</w:t>
            </w:r>
          </w:p>
        </w:tc>
      </w:tr>
      <w:tr w:rsidR="00DC746C" w14:paraId="6289B481" w14:textId="77777777" w:rsidTr="00117F8D">
        <w:trPr>
          <w:cantSplit/>
          <w:trHeight w:val="60"/>
        </w:trPr>
        <w:tc>
          <w:tcPr>
            <w:tcW w:w="1871" w:type="dxa"/>
          </w:tcPr>
          <w:p w14:paraId="490EF479" w14:textId="77777777" w:rsidR="00DC746C" w:rsidRDefault="00DC746C" w:rsidP="00117F8D">
            <w:pPr>
              <w:pStyle w:val="TableSideHeading"/>
            </w:pPr>
          </w:p>
        </w:tc>
        <w:tc>
          <w:tcPr>
            <w:tcW w:w="624" w:type="dxa"/>
          </w:tcPr>
          <w:p w14:paraId="5DC5941B" w14:textId="77777777" w:rsidR="00DC746C" w:rsidRDefault="00DC746C" w:rsidP="00117F8D">
            <w:pPr>
              <w:pStyle w:val="TableText"/>
            </w:pPr>
          </w:p>
        </w:tc>
        <w:tc>
          <w:tcPr>
            <w:tcW w:w="624" w:type="dxa"/>
          </w:tcPr>
          <w:p w14:paraId="7FCFBAF4" w14:textId="77777777" w:rsidR="00DC746C" w:rsidRDefault="00DC746C" w:rsidP="00117F8D">
            <w:pPr>
              <w:pStyle w:val="TableText"/>
            </w:pPr>
          </w:p>
        </w:tc>
        <w:tc>
          <w:tcPr>
            <w:tcW w:w="624" w:type="dxa"/>
          </w:tcPr>
          <w:p w14:paraId="5F44191A" w14:textId="77777777" w:rsidR="00DC746C" w:rsidRDefault="00DC746C" w:rsidP="00117F8D">
            <w:pPr>
              <w:pStyle w:val="TableText"/>
            </w:pPr>
          </w:p>
        </w:tc>
        <w:tc>
          <w:tcPr>
            <w:tcW w:w="624" w:type="dxa"/>
          </w:tcPr>
          <w:p w14:paraId="5283DB07" w14:textId="77777777" w:rsidR="00DC746C" w:rsidRDefault="00DC746C" w:rsidP="00117F8D">
            <w:pPr>
              <w:pStyle w:val="TableText"/>
            </w:pPr>
          </w:p>
        </w:tc>
        <w:tc>
          <w:tcPr>
            <w:tcW w:w="624" w:type="dxa"/>
          </w:tcPr>
          <w:p w14:paraId="27767A8E" w14:textId="77777777" w:rsidR="00DC746C" w:rsidRDefault="00DC746C" w:rsidP="00117F8D">
            <w:pPr>
              <w:pStyle w:val="TableText"/>
            </w:pPr>
          </w:p>
        </w:tc>
        <w:tc>
          <w:tcPr>
            <w:tcW w:w="4650" w:type="dxa"/>
            <w:gridSpan w:val="2"/>
          </w:tcPr>
          <w:p w14:paraId="7D989B45" w14:textId="649C69C1" w:rsidR="00DC746C" w:rsidRPr="0016214A" w:rsidRDefault="00DC746C" w:rsidP="00082A5A">
            <w:pPr>
              <w:pStyle w:val="TableBlock"/>
              <w:rPr>
                <w:rtl/>
              </w:rPr>
            </w:pPr>
            <w:r>
              <w:rPr>
                <w:rtl/>
              </w:rPr>
              <w:t>(ג</w:t>
            </w:r>
            <w:bookmarkStart w:id="8" w:name="_GoBack"/>
            <w:bookmarkEnd w:id="8"/>
            <w:r>
              <w:rPr>
                <w:rtl/>
              </w:rPr>
              <w:t>)</w:t>
            </w:r>
            <w:r>
              <w:rPr>
                <w:rtl/>
              </w:rPr>
              <w:tab/>
              <w:t>בסעיף זה</w:t>
            </w:r>
            <w:r w:rsidR="00082A5A">
              <w:rPr>
                <w:rFonts w:hint="cs"/>
                <w:rtl/>
              </w:rPr>
              <w:t xml:space="preserve">, </w:t>
            </w:r>
            <w:r>
              <w:rPr>
                <w:rtl/>
              </w:rPr>
              <w:t>"קרוב"</w:t>
            </w:r>
            <w:r>
              <w:rPr>
                <w:rFonts w:hint="cs"/>
                <w:rtl/>
              </w:rPr>
              <w:t xml:space="preserve"> </w:t>
            </w:r>
            <w:r>
              <w:rPr>
                <w:rtl/>
              </w:rPr>
              <w:t>–</w:t>
            </w:r>
            <w:r>
              <w:rPr>
                <w:rFonts w:hint="cs"/>
                <w:rtl/>
              </w:rPr>
              <w:t xml:space="preserve"> </w:t>
            </w:r>
            <w:r>
              <w:rPr>
                <w:rtl/>
              </w:rPr>
              <w:t>אדם בעל קרבה ממשית ומתמשכת לעובד הציבור, ובכ</w:t>
            </w:r>
            <w:r w:rsidR="00082A5A">
              <w:rPr>
                <w:rtl/>
              </w:rPr>
              <w:t>לל זה קרבה משפחתית או קרבה אחרת</w:t>
            </w:r>
            <w:r w:rsidR="00082A5A">
              <w:rPr>
                <w:rFonts w:hint="cs"/>
                <w:rtl/>
              </w:rPr>
              <w:t>."</w:t>
            </w:r>
          </w:p>
        </w:tc>
      </w:tr>
    </w:tbl>
    <w:p w14:paraId="12698126" w14:textId="77777777" w:rsidR="00DC746C" w:rsidRPr="00640876" w:rsidRDefault="00DC746C" w:rsidP="00DC746C">
      <w:pPr>
        <w:pStyle w:val="HeadDivreiHesber"/>
        <w:rPr>
          <w:rtl/>
        </w:rPr>
      </w:pPr>
      <w:r w:rsidRPr="00640876">
        <w:rPr>
          <w:rFonts w:hint="eastAsia"/>
          <w:rtl/>
        </w:rPr>
        <w:lastRenderedPageBreak/>
        <w:t>דברי</w:t>
      </w:r>
      <w:r w:rsidRPr="00640876">
        <w:rPr>
          <w:rtl/>
        </w:rPr>
        <w:t xml:space="preserve"> </w:t>
      </w:r>
      <w:r w:rsidRPr="00640876">
        <w:rPr>
          <w:rFonts w:hint="eastAsia"/>
          <w:rtl/>
        </w:rPr>
        <w:t>הסבר</w:t>
      </w:r>
    </w:p>
    <w:p w14:paraId="748C535C" w14:textId="77777777" w:rsidR="00DC746C" w:rsidRPr="002D43CD" w:rsidRDefault="00DC746C" w:rsidP="002D43CD">
      <w:pPr>
        <w:pStyle w:val="Hesber"/>
        <w:rPr>
          <w:rtl/>
        </w:rPr>
      </w:pPr>
      <w:r w:rsidRPr="002D43CD">
        <w:rPr>
          <w:rFonts w:hint="cs"/>
          <w:rtl/>
        </w:rPr>
        <w:t>מטרת הצעת החוק היא להחליף את הנוסח הקיים של עבירת מרמה והפרת אמונים, הקבועה בסעיף 284 לחוק העונשין התשל"ז</w:t>
      </w:r>
      <w:r w:rsidRPr="002D43CD">
        <w:rPr>
          <w:rtl/>
        </w:rPr>
        <w:t>–</w:t>
      </w:r>
      <w:r w:rsidRPr="002D43CD">
        <w:rPr>
          <w:rFonts w:hint="cs"/>
          <w:rtl/>
        </w:rPr>
        <w:t xml:space="preserve">1977 (להלן </w:t>
      </w:r>
      <w:r w:rsidRPr="002D43CD">
        <w:rPr>
          <w:rtl/>
        </w:rPr>
        <w:t>–</w:t>
      </w:r>
      <w:r w:rsidRPr="002D43CD">
        <w:rPr>
          <w:rFonts w:hint="cs"/>
          <w:rtl/>
        </w:rPr>
        <w:t xml:space="preserve"> החוק), בנוסח חדש ומעודכן, אשר ישקף את יסודותיה העובדתיים והנסיבתיים של העבירה באופן שיש בו מימוש הולם של עקרון החוקיות וודאות הדין וכן את התמורות שחלו במהלך השנים בתפיסה של מהות האיסור שבבסיסה של עבירה זו ותכליותיה. </w:t>
      </w:r>
    </w:p>
    <w:p w14:paraId="4666F857" w14:textId="77777777" w:rsidR="00DC746C" w:rsidRPr="002D43CD" w:rsidRDefault="00DC746C" w:rsidP="002D43CD">
      <w:pPr>
        <w:pStyle w:val="Hesber"/>
        <w:rPr>
          <w:rtl/>
        </w:rPr>
      </w:pPr>
      <w:r w:rsidRPr="002D43CD">
        <w:rPr>
          <w:rFonts w:hint="cs"/>
          <w:rtl/>
        </w:rPr>
        <w:t xml:space="preserve">עבירת המרמה והפרת אמונים היא אחת העבירות המרכזיות בתחום המאבק בשחיתות השלטונית. מטרת התיקון המוצע להבהיר את גדריה, יסודותיה ותכניה של העבירה, כמתחייב מעקרון החוקיות, ובכך להגביר את הוודאות בנוגע להיקפה </w:t>
      </w:r>
      <w:r w:rsidRPr="002D43CD">
        <w:rPr>
          <w:rtl/>
        </w:rPr>
        <w:t>–</w:t>
      </w:r>
      <w:r w:rsidRPr="002D43CD">
        <w:rPr>
          <w:rFonts w:hint="cs"/>
          <w:rtl/>
        </w:rPr>
        <w:t xml:space="preserve"> הן כלפי הציבור אליו מכוון החוק, והן כלפי מערכות האכיפה ובתי המשפט. </w:t>
      </w:r>
    </w:p>
    <w:p w14:paraId="77520EA0" w14:textId="77777777" w:rsidR="00DC746C" w:rsidRPr="002D43CD" w:rsidRDefault="00DC746C" w:rsidP="002D43CD">
      <w:pPr>
        <w:pStyle w:val="Hesber"/>
        <w:rPr>
          <w:rtl/>
        </w:rPr>
      </w:pPr>
      <w:r w:rsidRPr="002D43CD">
        <w:rPr>
          <w:rFonts w:hint="cs"/>
          <w:rtl/>
        </w:rPr>
        <w:t>הצעת החוק מבקשת לקבוע רשימה סגורה ומופרטת של מעשים העולים בכדי התנהגות אסורה של מרמה והפרת אמונים. מטרת ניסוח העבירה באופן זה, היא לצמצם ככל שניתן את אי הבהירות הקיים כיום בעבירה ובכך לענות על עיקרון החוקיות ולסייע למערכת האכיפה ולבתי המשפט באכיפת האיסורים שביסוד העבירה.</w:t>
      </w:r>
    </w:p>
    <w:p w14:paraId="2207F4FB" w14:textId="6ADB9C7B" w:rsidR="00DC746C" w:rsidRPr="002D43CD" w:rsidRDefault="00DC746C" w:rsidP="002D43CD">
      <w:pPr>
        <w:pStyle w:val="Hesber"/>
        <w:rPr>
          <w:rtl/>
        </w:rPr>
      </w:pPr>
      <w:r w:rsidRPr="002D43CD">
        <w:rPr>
          <w:rFonts w:hint="cs"/>
          <w:rtl/>
        </w:rPr>
        <w:t>ככלל, מטרת התיקון המוצע היא הבהרה ופירוט תכניה וגדריה של עבירת המרמה והפרת אמונים, ולא שינויה. בהתאם לכך, ניסוחה מחדש של העבירה נעשה במגמה לשמר את העקרונות שנקבעו בפסיקה בעני</w:t>
      </w:r>
      <w:r w:rsidR="00082A5A">
        <w:rPr>
          <w:rFonts w:hint="cs"/>
          <w:rtl/>
        </w:rPr>
        <w:t>י</w:t>
      </w:r>
      <w:r w:rsidRPr="002D43CD">
        <w:rPr>
          <w:rFonts w:hint="cs"/>
          <w:rtl/>
        </w:rPr>
        <w:t>ן זה, ובפרט בפסק הדין בעניין שבס (</w:t>
      </w:r>
      <w:r w:rsidRPr="002D43CD">
        <w:rPr>
          <w:rtl/>
        </w:rPr>
        <w:t>דנ"פ 1397/03 מדינת ישראל נ' שבס, פ"ד נט(4)385</w:t>
      </w:r>
      <w:r w:rsidRPr="002D43CD">
        <w:rPr>
          <w:rFonts w:hint="cs"/>
          <w:rtl/>
        </w:rPr>
        <w:t xml:space="preserve">) (להלן </w:t>
      </w:r>
      <w:r w:rsidRPr="002D43CD">
        <w:rPr>
          <w:rtl/>
        </w:rPr>
        <w:t>–</w:t>
      </w:r>
      <w:r w:rsidRPr="002D43CD">
        <w:rPr>
          <w:rFonts w:hint="cs"/>
          <w:rtl/>
        </w:rPr>
        <w:t xml:space="preserve"> פרשת שבס). </w:t>
      </w:r>
    </w:p>
    <w:p w14:paraId="264E078B" w14:textId="77777777" w:rsidR="00DC746C" w:rsidRPr="002D43CD" w:rsidRDefault="00DC746C" w:rsidP="002D43CD">
      <w:pPr>
        <w:pStyle w:val="Hesber"/>
        <w:rPr>
          <w:rtl/>
        </w:rPr>
      </w:pPr>
      <w:r w:rsidRPr="002D43CD">
        <w:rPr>
          <w:rFonts w:hint="cs"/>
          <w:rtl/>
        </w:rPr>
        <w:t xml:space="preserve">בהליך גיבוש הנוסח המוצע הייתה התייחסות, בין היתר, לשאלות השונות שעבירה זו מעוררת, לפסיקה הענפה בסוגיה זו </w:t>
      </w:r>
      <w:r w:rsidRPr="002D43CD">
        <w:rPr>
          <w:rtl/>
        </w:rPr>
        <w:t>–</w:t>
      </w:r>
      <w:r w:rsidRPr="002D43CD">
        <w:rPr>
          <w:rFonts w:hint="cs"/>
          <w:rtl/>
        </w:rPr>
        <w:t xml:space="preserve"> כאמור, במיוחד לפסק הדין המנחה בפרשת שבס, ולמצב המשפטי במדינות שונות בנושא זה. </w:t>
      </w:r>
    </w:p>
    <w:p w14:paraId="1A84287B" w14:textId="77777777" w:rsidR="00DC746C" w:rsidRPr="002D43CD" w:rsidRDefault="00DC746C" w:rsidP="002D43CD">
      <w:pPr>
        <w:pStyle w:val="Hesber"/>
        <w:rPr>
          <w:rtl/>
        </w:rPr>
      </w:pPr>
      <w:r w:rsidRPr="002D43CD">
        <w:rPr>
          <w:rFonts w:hint="cs"/>
          <w:rtl/>
        </w:rPr>
        <w:t xml:space="preserve">עבירת המרמה והפרת אמונים היא העבירה המרכזית המגדירה שחיתות שלטונית. מינויו של עובד ציבור והענקת הסמכויות הנתונות לו נועדו לשרת את הציבור ואת האינטרס הציבורי. לפיכך, במעשה מרמה או הפרת אמונים על-ידי עובד הציבור יש משום מעילה בחובת האמונים שהוא חב לציבור במילוי תפקידו ושליחותו הציבוריים. </w:t>
      </w:r>
    </w:p>
    <w:p w14:paraId="4F40FDFF" w14:textId="05FB6F0D" w:rsidR="00DC746C" w:rsidRPr="002D43CD" w:rsidRDefault="00DC746C" w:rsidP="002D43CD">
      <w:pPr>
        <w:pStyle w:val="Hesber"/>
        <w:rPr>
          <w:rtl/>
        </w:rPr>
      </w:pPr>
      <w:r w:rsidRPr="002D43CD">
        <w:rPr>
          <w:rFonts w:hint="cs"/>
          <w:rtl/>
        </w:rPr>
        <w:t xml:space="preserve">התנהגות מושחתת של עובד הציבור, תוך הפרת חובת האמונים שלו לציבור, יכולה לבוא לידי ביטוי בדרכים רבות ומגוונות, וברמות חומרה שונות. יתכן שאין בנוסח העבירה המוצעת לכסות את קשת המקרים של ניצול לרעה על ידי עובד הציבור את תפקידו או מעמדו למטרות זרות. עם זאת, על מנת לשמור על עקרון החוקיות, כולל הנוסח פירוט של חמש חלופות של סוגי מקרים אופייניים מובהקים של התנהגות המהווה "מעשה מרמה והפרת אמונים". ככל שיתעורר צורך בעתיד, נוכח הניסיון שיצטבר, </w:t>
      </w:r>
      <w:r w:rsidR="00082A5A">
        <w:rPr>
          <w:rFonts w:hint="cs"/>
          <w:rtl/>
        </w:rPr>
        <w:t>י</w:t>
      </w:r>
      <w:r w:rsidRPr="002D43CD">
        <w:rPr>
          <w:rFonts w:hint="cs"/>
          <w:rtl/>
        </w:rPr>
        <w:t>יתכן כי יוצעו תיקונים במטרה להוסיף סוגים נוספים של מקרים כאמור.</w:t>
      </w:r>
    </w:p>
    <w:p w14:paraId="0B5D0CA9" w14:textId="0622F41B" w:rsidR="00DC746C" w:rsidRPr="00082A5A" w:rsidRDefault="00DC746C" w:rsidP="002D43CD">
      <w:pPr>
        <w:pStyle w:val="Hesber"/>
        <w:rPr>
          <w:b/>
          <w:bCs/>
          <w:rtl/>
        </w:rPr>
      </w:pPr>
      <w:r w:rsidRPr="00082A5A">
        <w:rPr>
          <w:rFonts w:hint="cs"/>
          <w:b/>
          <w:bCs/>
          <w:rtl/>
        </w:rPr>
        <w:t>סעיף</w:t>
      </w:r>
      <w:r w:rsidR="00082A5A">
        <w:rPr>
          <w:rFonts w:hint="cs"/>
          <w:b/>
          <w:bCs/>
          <w:rtl/>
        </w:rPr>
        <w:t xml:space="preserve"> קטן</w:t>
      </w:r>
      <w:r w:rsidRPr="00082A5A">
        <w:rPr>
          <w:rFonts w:hint="cs"/>
          <w:b/>
          <w:bCs/>
          <w:rtl/>
        </w:rPr>
        <w:t xml:space="preserve"> </w:t>
      </w:r>
      <w:r w:rsidR="00082A5A">
        <w:rPr>
          <w:rFonts w:hint="cs"/>
          <w:b/>
          <w:bCs/>
          <w:rtl/>
        </w:rPr>
        <w:t>(</w:t>
      </w:r>
      <w:r w:rsidRPr="00082A5A">
        <w:rPr>
          <w:rFonts w:hint="cs"/>
          <w:b/>
          <w:bCs/>
          <w:rtl/>
        </w:rPr>
        <w:t>א</w:t>
      </w:r>
      <w:r w:rsidR="00082A5A">
        <w:rPr>
          <w:rFonts w:hint="cs"/>
          <w:b/>
          <w:bCs/>
          <w:rtl/>
        </w:rPr>
        <w:t>)</w:t>
      </w:r>
      <w:r w:rsidRPr="00082A5A">
        <w:rPr>
          <w:rFonts w:hint="cs"/>
          <w:b/>
          <w:bCs/>
          <w:rtl/>
        </w:rPr>
        <w:t>:</w:t>
      </w:r>
    </w:p>
    <w:p w14:paraId="0BBB6DE3" w14:textId="77777777" w:rsidR="00DC746C" w:rsidRPr="002D43CD" w:rsidRDefault="00DC746C" w:rsidP="002D43CD">
      <w:pPr>
        <w:pStyle w:val="Hesber"/>
        <w:rPr>
          <w:rtl/>
        </w:rPr>
      </w:pPr>
      <w:r w:rsidRPr="002D43CD">
        <w:rPr>
          <w:rFonts w:hint="cs"/>
          <w:rtl/>
        </w:rPr>
        <w:t xml:space="preserve">במסגרת ההגדרה הכללית של העבירה מוצע - בעקבות פרשת שבס - לקבוע מבחן סף כללי, ולפיו על מנת שמעשה יכנס לגדר העבירה, על התביעה יהיה להוכיח כי יש במעשה כדי לפגוע "פגיעה מהותית" באחד משלושת הערכים המוגנים שבבסיסה, המוגדרים כמוצע בנוסח הסעיף: </w:t>
      </w:r>
      <w:r w:rsidRPr="002D43CD">
        <w:rPr>
          <w:rtl/>
        </w:rPr>
        <w:t>ערכי טוהר המידות של עובדי הציבור</w:t>
      </w:r>
      <w:r w:rsidRPr="002D43CD">
        <w:rPr>
          <w:rFonts w:hint="cs"/>
          <w:rtl/>
        </w:rPr>
        <w:t xml:space="preserve">, </w:t>
      </w:r>
      <w:r w:rsidRPr="002D43CD">
        <w:rPr>
          <w:rtl/>
        </w:rPr>
        <w:t>אמון הציבור בשירות הציבור</w:t>
      </w:r>
      <w:r w:rsidRPr="002D43CD">
        <w:rPr>
          <w:rFonts w:hint="cs"/>
          <w:rtl/>
        </w:rPr>
        <w:t xml:space="preserve">י, או </w:t>
      </w:r>
      <w:r w:rsidRPr="002D43CD">
        <w:rPr>
          <w:rtl/>
        </w:rPr>
        <w:t>פעולתו התקינה של השירות הציבורי</w:t>
      </w:r>
      <w:r w:rsidRPr="002D43CD">
        <w:rPr>
          <w:rFonts w:hint="cs"/>
          <w:rtl/>
        </w:rPr>
        <w:t>,</w:t>
      </w:r>
      <w:r w:rsidRPr="002D43CD">
        <w:rPr>
          <w:rtl/>
        </w:rPr>
        <w:t xml:space="preserve"> </w:t>
      </w:r>
      <w:r w:rsidRPr="002D43CD">
        <w:rPr>
          <w:rFonts w:hint="cs"/>
          <w:rtl/>
        </w:rPr>
        <w:t xml:space="preserve">ובכלל זה </w:t>
      </w:r>
      <w:r w:rsidRPr="002D43CD">
        <w:rPr>
          <w:rFonts w:hint="cs"/>
          <w:rtl/>
        </w:rPr>
        <w:lastRenderedPageBreak/>
        <w:t>באינטרס הציבורי עליו מופקד עובד הציבור או הגוף הציבורי בו הוא נושא משרה או תפקיד. יש להדגיש כי מבחן זה הוא מבחן נורמטיבי חיצוני, הבא להחליף את יסוד ה"פוגע בציבור" שבנוסח העבירה כיום, ולפיכך לא נדרשת הוכחת מודעות המבצע לכך שפגע בערכים המוגנים.</w:t>
      </w:r>
    </w:p>
    <w:p w14:paraId="307363AD" w14:textId="77777777" w:rsidR="00DC746C" w:rsidRPr="002D43CD" w:rsidRDefault="00DC746C" w:rsidP="002D43CD">
      <w:pPr>
        <w:pStyle w:val="Hesber"/>
        <w:rPr>
          <w:rtl/>
        </w:rPr>
      </w:pPr>
      <w:r w:rsidRPr="002D43CD">
        <w:rPr>
          <w:rFonts w:hint="cs"/>
          <w:rtl/>
        </w:rPr>
        <w:t>קביעת מבחן סף, כמוצע, מיועדת להגביל את תחולת העבירה רק לאותם מקרים, אשר בשל חומרתם מצדיקים נקיטת הליך פלילי. הגבלה זו נדרשת נוכח הטווח הרחב של אופי המעשים היכולים לבוא בגדר ההתנהגויות הקונקרטיות שהוגדרו בעבירה. מעשים אלה עשויים להימצ</w:t>
      </w:r>
      <w:r w:rsidRPr="002D43CD">
        <w:rPr>
          <w:rFonts w:hint="eastAsia"/>
          <w:rtl/>
        </w:rPr>
        <w:t>א</w:t>
      </w:r>
      <w:r w:rsidRPr="002D43CD">
        <w:rPr>
          <w:rFonts w:hint="cs"/>
          <w:rtl/>
        </w:rPr>
        <w:t xml:space="preserve"> על רצף של רמות חומרה; חלקם מתאפיינים בחומרה יתירה ומצדיקים הכללתם בתחום הפלילי, באחרים יימצא שראוי לטפל במישור המשמעתי (מקום שקיים הסדר משמעתי), ויש שהמעשה ונסיבותיו נופלים בגדר התנהגות לא תקינה אך אינם מצדיקים סנקציה עונשית או משמעתית. מבחן הסף נועד להבטיח תחולת הנורמה הפלילית רק על אותן ההתנהגויות הנמצאות ברמת החומרה המצדיקה הכללתן בתחום הפלילי. </w:t>
      </w:r>
    </w:p>
    <w:p w14:paraId="55C39EE4" w14:textId="77777777" w:rsidR="00DC746C" w:rsidRPr="002D43CD" w:rsidRDefault="00DC746C" w:rsidP="002D43CD">
      <w:pPr>
        <w:pStyle w:val="Hesber"/>
        <w:rPr>
          <w:rtl/>
        </w:rPr>
      </w:pPr>
      <w:r w:rsidRPr="002D43CD">
        <w:rPr>
          <w:rFonts w:hint="cs"/>
          <w:rtl/>
        </w:rPr>
        <w:t xml:space="preserve">יודגש כי הפגיעה המהותית בערכים המוגנים יכולה להיות עקב מעשה אחד חמור, או עקב שורה של מעשים דומים שבהצטרפותם יחד יש כדי לפגוע פגיעה מהותית כאמור, ואף עקב הצטברות של מעשים שונים זה מזה. </w:t>
      </w:r>
    </w:p>
    <w:p w14:paraId="1AD36B00" w14:textId="209F63DD" w:rsidR="00DC746C" w:rsidRPr="002D43CD" w:rsidRDefault="00DC746C" w:rsidP="002D43CD">
      <w:pPr>
        <w:pStyle w:val="Hesber"/>
        <w:rPr>
          <w:rtl/>
        </w:rPr>
      </w:pPr>
      <w:r w:rsidRPr="002D43CD">
        <w:rPr>
          <w:rFonts w:hint="cs"/>
          <w:rtl/>
        </w:rPr>
        <w:t>מבחן זה משקף כאמור את ההלכה שנקבעה בעניין שבס, לפיה "ביסוד האיסור הפלילי של הפרת אמונים הפוגע בציבור מונח אחד או יותר משלושת הערכים הבאים: הבטחת אמון הציבור בעובדי הציבור; טוהר המידות של עובדי הציבור; והבטחת תקינותה של פעולת המינהל תוך הגשמתו של התפקיד הציבורי[...]" (</w:t>
      </w:r>
      <w:r w:rsidRPr="002D43CD">
        <w:rPr>
          <w:rtl/>
        </w:rPr>
        <w:t>דנ"פ בפרשת שבס, פסקה 45</w:t>
      </w:r>
      <w:r w:rsidRPr="002D43CD">
        <w:rPr>
          <w:rFonts w:hint="cs"/>
          <w:rtl/>
        </w:rPr>
        <w:t>)</w:t>
      </w:r>
      <w:r w:rsidRPr="002D43CD">
        <w:rPr>
          <w:rtl/>
        </w:rPr>
        <w:t>.</w:t>
      </w:r>
      <w:r w:rsidR="00082A5A">
        <w:rPr>
          <w:rFonts w:hint="cs"/>
          <w:rtl/>
        </w:rPr>
        <w:t xml:space="preserve"> </w:t>
      </w:r>
      <w:r w:rsidRPr="002D43CD">
        <w:rPr>
          <w:rFonts w:hint="cs"/>
          <w:rtl/>
        </w:rPr>
        <w:t>מכאן הסיק בית המשפט כי עבירת מרמה והפרת אמונים מתגבשת כשהמעשה (בפסק הדין הדברים מתייחסים למעשה שנעשה בניגוד עניינים), מביא לפגיעה מהותית באחד או יותר משלושת ערכים מוגנים אלה.</w:t>
      </w:r>
    </w:p>
    <w:p w14:paraId="3BBCACB4" w14:textId="66284444" w:rsidR="00DC746C" w:rsidRPr="00082A5A" w:rsidRDefault="00DC746C" w:rsidP="00082A5A">
      <w:pPr>
        <w:pStyle w:val="Hesber"/>
        <w:rPr>
          <w:b/>
          <w:bCs/>
          <w:rtl/>
        </w:rPr>
      </w:pPr>
      <w:r w:rsidRPr="00082A5A">
        <w:rPr>
          <w:rFonts w:hint="cs"/>
          <w:b/>
          <w:bCs/>
          <w:rtl/>
        </w:rPr>
        <w:t>סעיף</w:t>
      </w:r>
      <w:r w:rsidR="00082A5A">
        <w:rPr>
          <w:rFonts w:hint="cs"/>
          <w:b/>
          <w:bCs/>
          <w:rtl/>
        </w:rPr>
        <w:t xml:space="preserve"> קטן (</w:t>
      </w:r>
      <w:r w:rsidRPr="00082A5A">
        <w:rPr>
          <w:rFonts w:hint="cs"/>
          <w:b/>
          <w:bCs/>
          <w:rtl/>
        </w:rPr>
        <w:t>ב</w:t>
      </w:r>
      <w:r w:rsidR="00082A5A">
        <w:rPr>
          <w:rFonts w:hint="cs"/>
          <w:b/>
          <w:bCs/>
          <w:rtl/>
        </w:rPr>
        <w:t>)</w:t>
      </w:r>
      <w:r w:rsidRPr="00082A5A">
        <w:rPr>
          <w:rFonts w:hint="cs"/>
          <w:b/>
          <w:bCs/>
          <w:rtl/>
        </w:rPr>
        <w:t>:</w:t>
      </w:r>
    </w:p>
    <w:p w14:paraId="503A36BA" w14:textId="6AA098C3" w:rsidR="00DC746C" w:rsidRPr="002D43CD" w:rsidRDefault="002D43CD" w:rsidP="002D43CD">
      <w:pPr>
        <w:pStyle w:val="Hesber"/>
        <w:rPr>
          <w:b/>
          <w:bCs/>
        </w:rPr>
      </w:pPr>
      <w:r>
        <w:rPr>
          <w:rFonts w:hint="cs"/>
          <w:b/>
          <w:bCs/>
          <w:rtl/>
        </w:rPr>
        <w:t>(1)</w:t>
      </w:r>
      <w:r>
        <w:rPr>
          <w:b/>
          <w:bCs/>
          <w:rtl/>
        </w:rPr>
        <w:tab/>
      </w:r>
      <w:r w:rsidR="00DC746C" w:rsidRPr="002D43CD">
        <w:rPr>
          <w:b/>
          <w:bCs/>
          <w:rtl/>
        </w:rPr>
        <w:t>מעשה שנעשה</w:t>
      </w:r>
      <w:r w:rsidR="00DC746C" w:rsidRPr="002D43CD">
        <w:rPr>
          <w:rFonts w:hint="cs"/>
          <w:b/>
          <w:bCs/>
          <w:rtl/>
        </w:rPr>
        <w:t xml:space="preserve"> בקשר עם מילוי תפקידו או תוך שימוש במעמדו כעובד הציבור </w:t>
      </w:r>
      <w:r w:rsidR="00DC746C" w:rsidRPr="002D43CD">
        <w:rPr>
          <w:b/>
          <w:bCs/>
          <w:rtl/>
        </w:rPr>
        <w:t>במצב של ניגוד עניינים, המשפיע או העשוי להשפיע על עניין אישי</w:t>
      </w:r>
      <w:r w:rsidR="00DC746C" w:rsidRPr="002D43CD">
        <w:rPr>
          <w:rFonts w:hint="cs"/>
          <w:b/>
          <w:bCs/>
          <w:rtl/>
        </w:rPr>
        <w:t xml:space="preserve"> של עובד הציבור או של קרוב - סעיף קטן (ב)(1). </w:t>
      </w:r>
    </w:p>
    <w:p w14:paraId="64526665" w14:textId="77777777" w:rsidR="00DC746C" w:rsidRPr="002D43CD" w:rsidRDefault="00DC746C" w:rsidP="002D43CD">
      <w:pPr>
        <w:pStyle w:val="Hesber"/>
        <w:rPr>
          <w:rtl/>
        </w:rPr>
      </w:pPr>
      <w:r w:rsidRPr="002D43CD">
        <w:rPr>
          <w:rFonts w:hint="cs"/>
          <w:rtl/>
        </w:rPr>
        <w:t>החלופה הראשונה עניינה במקרה מובהק של מרמה והפרת אמונים שפותח בהרחבה בפסיקה והוא כאשר עובד הציבור עושה פעולה בקשר עם מילוי תפקידו במצב של ניגוד עניינים. "המאפיין מצב של ניגוד עניינים הוא הימצאות</w:t>
      </w:r>
      <w:r w:rsidRPr="002D43CD">
        <w:rPr>
          <w:rFonts w:hint="eastAsia"/>
          <w:rtl/>
        </w:rPr>
        <w:t>ו</w:t>
      </w:r>
      <w:r w:rsidRPr="002D43CD">
        <w:rPr>
          <w:rFonts w:hint="cs"/>
          <w:rtl/>
        </w:rPr>
        <w:t xml:space="preserve"> של עובד הציבור במצב בו קיים ניגוד בין האינטרס עליו מופקד עובד הציבור לבין אינטרס אחר כלשהו. הגדרה זו משתרעת על מגוון רחב של מצבים" (</w:t>
      </w:r>
      <w:r w:rsidRPr="002D43CD">
        <w:rPr>
          <w:rtl/>
        </w:rPr>
        <w:t>דנ"פ, פרשת שבסס הנ"ל, פסקה 42</w:t>
      </w:r>
      <w:r w:rsidRPr="002D43CD">
        <w:rPr>
          <w:rFonts w:hint="cs"/>
          <w:rtl/>
        </w:rPr>
        <w:t>).</w:t>
      </w:r>
    </w:p>
    <w:p w14:paraId="482F0EF3" w14:textId="77777777" w:rsidR="00DC746C" w:rsidRPr="002D43CD" w:rsidRDefault="00DC746C" w:rsidP="002D43CD">
      <w:pPr>
        <w:pStyle w:val="Hesber"/>
        <w:rPr>
          <w:rtl/>
        </w:rPr>
      </w:pPr>
      <w:r w:rsidRPr="002D43CD">
        <w:rPr>
          <w:rFonts w:hint="cs"/>
          <w:rtl/>
        </w:rPr>
        <w:t>האיסור המוצע אינו קובע את עצם ההימצאות של עובד הציבור במצב של ניגוד עניינים כעבירה, כי אם את עשייתו של מעשה בקשר עם מילוי תפקידו או מעמדו, כאשר הוא מצוי במצב של ניגוד עניינים, מקום שניגוד העניינים השפיע בפועל על עניין אישי, או שהוא עשוי היה להשפיע על עניין כזה. "עניי</w:t>
      </w:r>
      <w:r w:rsidRPr="002D43CD">
        <w:rPr>
          <w:rFonts w:hint="eastAsia"/>
          <w:rtl/>
        </w:rPr>
        <w:t>ן</w:t>
      </w:r>
      <w:r w:rsidRPr="002D43CD">
        <w:rPr>
          <w:rFonts w:hint="cs"/>
          <w:rtl/>
        </w:rPr>
        <w:t xml:space="preserve"> אישי" כולל גם עניין אישי של מי שהוא קרוב של עובד הציבור. הגדרת "קרוב" מופיעה בסעיף קטין (ג) וכוללת אדם שהוא בעל קרבה ממשית ומתמשכת לעובד הציבור. בתיבה אחרונה זו עשויים להיכלל קרובי משפחה של עובד הציבור כגון ילדיו, הוריו, אחיו או בן זוגו, חבר קרוב של עובד הציבור, מי שהיה שותף עסקי שלו ככל שהקרבה עמו היא ממשית ומתמשכת, וכן מי שקיימת בינו ובין עובד הציבור זיקה פוליטית הדוקה ומתמשכת. נדגיש כי הזיקה בין עובד הציבור לקרוב צריכה להיות כאמור ממשית ומתמשכת, אך ככל שמדובר בזיקה חזקה מאוד אין צורך כי הקרבה תהיה קרבה ממושכת לאורך שנים. כפי שקבע בית המשפט בעניין שבס: "ככל שעוצמת ניגוד העניינים חריפה יותר, כן מתחזקת האפשרות לפגיעה מהותית באמון הציבור, בטוהר המידות או בתקינות פעולת המינהל. לא הרי קרבת משפחה </w:t>
      </w:r>
      <w:r w:rsidRPr="002D43CD">
        <w:rPr>
          <w:rFonts w:hint="cs"/>
          <w:rtl/>
        </w:rPr>
        <w:lastRenderedPageBreak/>
        <w:t>הדוקה ופעילה כהרי היכרות מזדמנת. לא הרי ניגוד עניינים המבוסס על קשר כספי אישי או אינטרס כלכלי כהרי ניגוד עניינים המבוסס על קשר מוסדי" (</w:t>
      </w:r>
      <w:r w:rsidRPr="002D43CD">
        <w:rPr>
          <w:rtl/>
        </w:rPr>
        <w:t>דנ"פ</w:t>
      </w:r>
      <w:r w:rsidRPr="002D43CD">
        <w:rPr>
          <w:rFonts w:hint="cs"/>
          <w:rtl/>
        </w:rPr>
        <w:t>, פרשת</w:t>
      </w:r>
      <w:r w:rsidRPr="002D43CD">
        <w:rPr>
          <w:rtl/>
        </w:rPr>
        <w:t xml:space="preserve"> שבס, פסקה 51</w:t>
      </w:r>
      <w:r w:rsidRPr="002D43CD">
        <w:rPr>
          <w:rFonts w:hint="cs"/>
          <w:rtl/>
        </w:rPr>
        <w:t>).</w:t>
      </w:r>
    </w:p>
    <w:p w14:paraId="2B3CA135" w14:textId="2BEC84A6" w:rsidR="00DC746C" w:rsidRPr="002D43CD" w:rsidRDefault="00DC746C" w:rsidP="002D43CD">
      <w:pPr>
        <w:pStyle w:val="Hesber"/>
        <w:rPr>
          <w:rtl/>
        </w:rPr>
      </w:pPr>
      <w:r w:rsidRPr="002D43CD">
        <w:rPr>
          <w:rFonts w:hint="cs"/>
          <w:rtl/>
        </w:rPr>
        <w:t>יודגש כי העבירה המוצעת חלה על פעולה בניגוד עניינים אישי, אך לא על פעולה במצב של "ניגוד עניינים מוסדי", היינו ניגוד עניינים בין שני אינטרסים ציבוריים עליהם מופקד עובד הציבור. בגדר עניין אישי יבוא מצב בו עובד הציבור פועל תוך ניגוד עניינים כדי לקדם עניין שאינו של גוף מוסדי בלבד אלא עניין בו יש לעובד הציבור גם אינטרס אישי.</w:t>
      </w:r>
    </w:p>
    <w:p w14:paraId="50012C38" w14:textId="77777777" w:rsidR="00DC746C" w:rsidRPr="002D43CD" w:rsidRDefault="00DC746C" w:rsidP="002D43CD">
      <w:pPr>
        <w:pStyle w:val="Hesber"/>
        <w:rPr>
          <w:b/>
          <w:bCs/>
        </w:rPr>
      </w:pPr>
      <w:r w:rsidRPr="002D43CD">
        <w:rPr>
          <w:rFonts w:hint="cs"/>
          <w:b/>
          <w:bCs/>
          <w:rtl/>
        </w:rPr>
        <w:t>(2)</w:t>
      </w:r>
      <w:r w:rsidRPr="002D43CD">
        <w:rPr>
          <w:rFonts w:hint="cs"/>
          <w:b/>
          <w:bCs/>
          <w:rtl/>
        </w:rPr>
        <w:tab/>
      </w:r>
      <w:r w:rsidRPr="002D43CD">
        <w:rPr>
          <w:rFonts w:hint="eastAsia"/>
          <w:b/>
          <w:bCs/>
          <w:rtl/>
        </w:rPr>
        <w:t>קבלת</w:t>
      </w:r>
      <w:r w:rsidRPr="002D43CD">
        <w:rPr>
          <w:b/>
          <w:bCs/>
          <w:rtl/>
        </w:rPr>
        <w:t xml:space="preserve"> </w:t>
      </w:r>
      <w:r w:rsidRPr="002D43CD">
        <w:rPr>
          <w:rFonts w:hint="eastAsia"/>
          <w:b/>
          <w:bCs/>
          <w:rtl/>
        </w:rPr>
        <w:t>טובת</w:t>
      </w:r>
      <w:r w:rsidRPr="002D43CD">
        <w:rPr>
          <w:b/>
          <w:bCs/>
          <w:rtl/>
        </w:rPr>
        <w:t xml:space="preserve"> </w:t>
      </w:r>
      <w:r w:rsidRPr="002D43CD">
        <w:rPr>
          <w:rFonts w:hint="eastAsia"/>
          <w:b/>
          <w:bCs/>
          <w:rtl/>
        </w:rPr>
        <w:t>הנאה</w:t>
      </w:r>
      <w:r w:rsidRPr="002D43CD">
        <w:rPr>
          <w:b/>
          <w:bCs/>
          <w:rtl/>
        </w:rPr>
        <w:t xml:space="preserve"> </w:t>
      </w:r>
      <w:r w:rsidRPr="002D43CD">
        <w:rPr>
          <w:rFonts w:hint="eastAsia"/>
          <w:b/>
          <w:bCs/>
          <w:rtl/>
        </w:rPr>
        <w:t>על</w:t>
      </w:r>
      <w:r w:rsidRPr="002D43CD">
        <w:rPr>
          <w:b/>
          <w:bCs/>
          <w:rtl/>
        </w:rPr>
        <w:t xml:space="preserve"> </w:t>
      </w:r>
      <w:r w:rsidRPr="002D43CD">
        <w:rPr>
          <w:rFonts w:hint="eastAsia"/>
          <w:b/>
          <w:bCs/>
          <w:rtl/>
        </w:rPr>
        <w:t>ידי</w:t>
      </w:r>
      <w:r w:rsidRPr="002D43CD">
        <w:rPr>
          <w:b/>
          <w:bCs/>
          <w:rtl/>
        </w:rPr>
        <w:t xml:space="preserve"> </w:t>
      </w:r>
      <w:r w:rsidRPr="002D43CD">
        <w:rPr>
          <w:rFonts w:hint="eastAsia"/>
          <w:b/>
          <w:bCs/>
          <w:rtl/>
        </w:rPr>
        <w:t>עובד</w:t>
      </w:r>
      <w:r w:rsidRPr="002D43CD">
        <w:rPr>
          <w:b/>
          <w:bCs/>
          <w:rtl/>
        </w:rPr>
        <w:t xml:space="preserve"> </w:t>
      </w:r>
      <w:r w:rsidRPr="002D43CD">
        <w:rPr>
          <w:rFonts w:hint="eastAsia"/>
          <w:b/>
          <w:bCs/>
          <w:rtl/>
        </w:rPr>
        <w:t>הציבור</w:t>
      </w:r>
      <w:r w:rsidRPr="002D43CD">
        <w:rPr>
          <w:b/>
          <w:bCs/>
          <w:rtl/>
        </w:rPr>
        <w:t xml:space="preserve"> </w:t>
      </w:r>
      <w:r w:rsidRPr="002D43CD">
        <w:rPr>
          <w:rFonts w:hint="eastAsia"/>
          <w:b/>
          <w:bCs/>
          <w:rtl/>
        </w:rPr>
        <w:t>או</w:t>
      </w:r>
      <w:r w:rsidRPr="002D43CD">
        <w:rPr>
          <w:b/>
          <w:bCs/>
          <w:rtl/>
        </w:rPr>
        <w:t xml:space="preserve"> </w:t>
      </w:r>
      <w:r w:rsidRPr="002D43CD">
        <w:rPr>
          <w:rFonts w:hint="eastAsia"/>
          <w:b/>
          <w:bCs/>
          <w:rtl/>
        </w:rPr>
        <w:t>על</w:t>
      </w:r>
      <w:r w:rsidRPr="002D43CD">
        <w:rPr>
          <w:b/>
          <w:bCs/>
          <w:rtl/>
        </w:rPr>
        <w:t xml:space="preserve"> </w:t>
      </w:r>
      <w:r w:rsidRPr="002D43CD">
        <w:rPr>
          <w:rFonts w:hint="eastAsia"/>
          <w:b/>
          <w:bCs/>
          <w:rtl/>
        </w:rPr>
        <w:t>ידי</w:t>
      </w:r>
      <w:r w:rsidRPr="002D43CD">
        <w:rPr>
          <w:b/>
          <w:bCs/>
          <w:rtl/>
        </w:rPr>
        <w:t xml:space="preserve"> </w:t>
      </w:r>
      <w:r w:rsidRPr="002D43CD">
        <w:rPr>
          <w:rFonts w:hint="eastAsia"/>
          <w:b/>
          <w:bCs/>
          <w:rtl/>
        </w:rPr>
        <w:t>קרוב</w:t>
      </w:r>
      <w:r w:rsidRPr="002D43CD">
        <w:rPr>
          <w:b/>
          <w:bCs/>
          <w:rtl/>
        </w:rPr>
        <w:t xml:space="preserve"> </w:t>
      </w:r>
      <w:r w:rsidRPr="002D43CD">
        <w:rPr>
          <w:rFonts w:hint="eastAsia"/>
          <w:b/>
          <w:bCs/>
          <w:rtl/>
        </w:rPr>
        <w:t>של</w:t>
      </w:r>
      <w:r w:rsidRPr="002D43CD">
        <w:rPr>
          <w:b/>
          <w:bCs/>
          <w:rtl/>
        </w:rPr>
        <w:t xml:space="preserve"> </w:t>
      </w:r>
      <w:r w:rsidRPr="002D43CD">
        <w:rPr>
          <w:rFonts w:hint="eastAsia"/>
          <w:b/>
          <w:bCs/>
          <w:rtl/>
        </w:rPr>
        <w:t>עובד</w:t>
      </w:r>
      <w:r w:rsidRPr="002D43CD">
        <w:rPr>
          <w:b/>
          <w:bCs/>
          <w:rtl/>
        </w:rPr>
        <w:t xml:space="preserve"> </w:t>
      </w:r>
      <w:r w:rsidRPr="002D43CD">
        <w:rPr>
          <w:rFonts w:hint="eastAsia"/>
          <w:b/>
          <w:bCs/>
          <w:rtl/>
        </w:rPr>
        <w:t>הציבור</w:t>
      </w:r>
      <w:r w:rsidRPr="002D43CD">
        <w:rPr>
          <w:rFonts w:hint="cs"/>
          <w:b/>
          <w:bCs/>
          <w:rtl/>
        </w:rPr>
        <w:t>,</w:t>
      </w:r>
      <w:r w:rsidRPr="002D43CD">
        <w:rPr>
          <w:b/>
          <w:bCs/>
          <w:rtl/>
        </w:rPr>
        <w:t xml:space="preserve"> </w:t>
      </w:r>
      <w:r w:rsidRPr="002D43CD">
        <w:rPr>
          <w:rFonts w:hint="cs"/>
          <w:b/>
          <w:bCs/>
          <w:rtl/>
        </w:rPr>
        <w:t>אשר ניתנה לו, או ל</w:t>
      </w:r>
      <w:r w:rsidRPr="002D43CD">
        <w:rPr>
          <w:rFonts w:hint="eastAsia"/>
          <w:b/>
          <w:bCs/>
          <w:rtl/>
        </w:rPr>
        <w:t>קרוב</w:t>
      </w:r>
      <w:r w:rsidRPr="002D43CD">
        <w:rPr>
          <w:rFonts w:hint="cs"/>
          <w:b/>
          <w:bCs/>
          <w:rtl/>
        </w:rPr>
        <w:t>,</w:t>
      </w:r>
      <w:r w:rsidRPr="002D43CD">
        <w:rPr>
          <w:rFonts w:hint="eastAsia"/>
          <w:b/>
          <w:bCs/>
          <w:rtl/>
        </w:rPr>
        <w:t xml:space="preserve"> ב</w:t>
      </w:r>
      <w:r w:rsidRPr="002D43CD">
        <w:rPr>
          <w:rFonts w:hint="cs"/>
          <w:b/>
          <w:bCs/>
          <w:rtl/>
        </w:rPr>
        <w:t xml:space="preserve">אשר הוא </w:t>
      </w:r>
      <w:r w:rsidRPr="002D43CD">
        <w:rPr>
          <w:rFonts w:hint="eastAsia"/>
          <w:b/>
          <w:bCs/>
          <w:rtl/>
        </w:rPr>
        <w:t>עובד</w:t>
      </w:r>
      <w:r w:rsidRPr="002D43CD">
        <w:rPr>
          <w:b/>
          <w:bCs/>
          <w:rtl/>
        </w:rPr>
        <w:t xml:space="preserve"> </w:t>
      </w:r>
      <w:r w:rsidRPr="002D43CD">
        <w:rPr>
          <w:rFonts w:hint="cs"/>
          <w:b/>
          <w:bCs/>
          <w:rtl/>
        </w:rPr>
        <w:t>ה</w:t>
      </w:r>
      <w:r w:rsidRPr="002D43CD">
        <w:rPr>
          <w:rFonts w:hint="eastAsia"/>
          <w:b/>
          <w:bCs/>
          <w:rtl/>
        </w:rPr>
        <w:t>ציבור</w:t>
      </w:r>
      <w:r w:rsidRPr="002D43CD">
        <w:rPr>
          <w:b/>
          <w:bCs/>
          <w:rtl/>
        </w:rPr>
        <w:t xml:space="preserve">, </w:t>
      </w:r>
      <w:r w:rsidRPr="002D43CD">
        <w:rPr>
          <w:rFonts w:hint="eastAsia"/>
          <w:b/>
          <w:bCs/>
          <w:rtl/>
        </w:rPr>
        <w:t>למעט</w:t>
      </w:r>
      <w:r w:rsidRPr="002D43CD">
        <w:rPr>
          <w:b/>
          <w:bCs/>
          <w:rtl/>
        </w:rPr>
        <w:t xml:space="preserve"> </w:t>
      </w:r>
      <w:r w:rsidRPr="002D43CD">
        <w:rPr>
          <w:rFonts w:hint="eastAsia"/>
          <w:b/>
          <w:bCs/>
          <w:rtl/>
        </w:rPr>
        <w:t>קבלת</w:t>
      </w:r>
      <w:r w:rsidRPr="002D43CD">
        <w:rPr>
          <w:b/>
          <w:bCs/>
          <w:rtl/>
        </w:rPr>
        <w:t xml:space="preserve"> </w:t>
      </w:r>
      <w:r w:rsidRPr="002D43CD">
        <w:rPr>
          <w:rFonts w:hint="eastAsia"/>
          <w:b/>
          <w:bCs/>
          <w:rtl/>
        </w:rPr>
        <w:t>טובת</w:t>
      </w:r>
      <w:r w:rsidRPr="002D43CD">
        <w:rPr>
          <w:b/>
          <w:bCs/>
          <w:rtl/>
        </w:rPr>
        <w:t xml:space="preserve"> </w:t>
      </w:r>
      <w:r w:rsidRPr="002D43CD">
        <w:rPr>
          <w:rFonts w:hint="eastAsia"/>
          <w:b/>
          <w:bCs/>
          <w:rtl/>
        </w:rPr>
        <w:t>הנאה</w:t>
      </w:r>
      <w:r w:rsidRPr="002D43CD">
        <w:rPr>
          <w:b/>
          <w:bCs/>
          <w:rtl/>
        </w:rPr>
        <w:t xml:space="preserve"> </w:t>
      </w:r>
      <w:r w:rsidRPr="002D43CD">
        <w:rPr>
          <w:rFonts w:hint="eastAsia"/>
          <w:b/>
          <w:bCs/>
          <w:rtl/>
        </w:rPr>
        <w:t>המותרת</w:t>
      </w:r>
      <w:r w:rsidRPr="002D43CD">
        <w:rPr>
          <w:b/>
          <w:bCs/>
          <w:rtl/>
        </w:rPr>
        <w:t xml:space="preserve"> </w:t>
      </w:r>
      <w:r w:rsidRPr="002D43CD">
        <w:rPr>
          <w:rFonts w:hint="eastAsia"/>
          <w:b/>
          <w:bCs/>
          <w:rtl/>
        </w:rPr>
        <w:t>על</w:t>
      </w:r>
      <w:r w:rsidRPr="002D43CD">
        <w:rPr>
          <w:b/>
          <w:bCs/>
          <w:rtl/>
        </w:rPr>
        <w:t xml:space="preserve"> </w:t>
      </w:r>
      <w:r w:rsidRPr="002D43CD">
        <w:rPr>
          <w:rFonts w:hint="eastAsia"/>
          <w:b/>
          <w:bCs/>
          <w:rtl/>
        </w:rPr>
        <w:t>פי</w:t>
      </w:r>
      <w:r w:rsidRPr="002D43CD">
        <w:rPr>
          <w:b/>
          <w:bCs/>
          <w:rtl/>
        </w:rPr>
        <w:t xml:space="preserve"> </w:t>
      </w:r>
      <w:r w:rsidRPr="002D43CD">
        <w:rPr>
          <w:rFonts w:hint="eastAsia"/>
          <w:b/>
          <w:bCs/>
          <w:rtl/>
        </w:rPr>
        <w:t>די</w:t>
      </w:r>
      <w:r w:rsidRPr="002D43CD">
        <w:rPr>
          <w:rFonts w:hint="cs"/>
          <w:b/>
          <w:bCs/>
          <w:rtl/>
        </w:rPr>
        <w:t>ן - סעיף קטן ב(2).</w:t>
      </w:r>
    </w:p>
    <w:p w14:paraId="580A4280" w14:textId="77777777" w:rsidR="00DC746C" w:rsidRPr="002D43CD" w:rsidRDefault="00DC746C" w:rsidP="002D43CD">
      <w:pPr>
        <w:pStyle w:val="Hesber"/>
        <w:rPr>
          <w:rtl/>
        </w:rPr>
      </w:pPr>
      <w:r w:rsidRPr="002D43CD">
        <w:rPr>
          <w:rFonts w:hint="cs"/>
          <w:rtl/>
        </w:rPr>
        <w:t>הדגש באיסור המוצע הוא בכך שטובת ההנאה ניתנה לעובד הציבור באשר הוא עובד הציבור, ולא על רקע יחסים חבריים, משפחתיים וכיוצ"ב, וכי אין מדובר ב</w:t>
      </w:r>
      <w:r w:rsidRPr="002D43CD">
        <w:rPr>
          <w:rFonts w:hint="eastAsia"/>
          <w:rtl/>
        </w:rPr>
        <w:t>טובת</w:t>
      </w:r>
      <w:r w:rsidRPr="002D43CD">
        <w:rPr>
          <w:rtl/>
        </w:rPr>
        <w:t xml:space="preserve"> </w:t>
      </w:r>
      <w:r w:rsidRPr="002D43CD">
        <w:rPr>
          <w:rFonts w:hint="eastAsia"/>
          <w:rtl/>
        </w:rPr>
        <w:t>הנאה</w:t>
      </w:r>
      <w:r w:rsidRPr="002D43CD">
        <w:rPr>
          <w:rtl/>
        </w:rPr>
        <w:t xml:space="preserve"> </w:t>
      </w:r>
      <w:r w:rsidRPr="002D43CD">
        <w:rPr>
          <w:rFonts w:hint="eastAsia"/>
          <w:rtl/>
        </w:rPr>
        <w:t>המותרת</w:t>
      </w:r>
      <w:r w:rsidRPr="002D43CD">
        <w:rPr>
          <w:rtl/>
        </w:rPr>
        <w:t xml:space="preserve"> </w:t>
      </w:r>
      <w:r w:rsidRPr="002D43CD">
        <w:rPr>
          <w:rFonts w:hint="eastAsia"/>
          <w:rtl/>
        </w:rPr>
        <w:t>על</w:t>
      </w:r>
      <w:r w:rsidRPr="002D43CD">
        <w:rPr>
          <w:rtl/>
        </w:rPr>
        <w:t xml:space="preserve"> </w:t>
      </w:r>
      <w:r w:rsidRPr="002D43CD">
        <w:rPr>
          <w:rFonts w:hint="eastAsia"/>
          <w:rtl/>
        </w:rPr>
        <w:t>פי</w:t>
      </w:r>
      <w:r w:rsidRPr="002D43CD">
        <w:rPr>
          <w:rtl/>
        </w:rPr>
        <w:t xml:space="preserve"> </w:t>
      </w:r>
      <w:r w:rsidRPr="002D43CD">
        <w:rPr>
          <w:rFonts w:hint="eastAsia"/>
          <w:rtl/>
        </w:rPr>
        <w:t>די</w:t>
      </w:r>
      <w:r w:rsidRPr="002D43CD">
        <w:rPr>
          <w:rFonts w:hint="cs"/>
          <w:rtl/>
        </w:rPr>
        <w:t xml:space="preserve">ן. הוראה זו נועדה לאסור קבלת טובות הנאה על-ידי עובד הציבור, אף אם אינה בגדר עבירת השוחד. </w:t>
      </w:r>
    </w:p>
    <w:p w14:paraId="2769D8A4" w14:textId="33FE259F" w:rsidR="00DC746C" w:rsidRPr="002D43CD" w:rsidRDefault="00DC746C" w:rsidP="002D43CD">
      <w:pPr>
        <w:pStyle w:val="Hesber"/>
        <w:rPr>
          <w:rtl/>
        </w:rPr>
      </w:pPr>
      <w:r w:rsidRPr="002D43CD">
        <w:rPr>
          <w:rFonts w:hint="cs"/>
          <w:rtl/>
        </w:rPr>
        <w:t>עבירת השוחד מוגדרת בסעיף 290(א) לחוק העונשין כקבלת טובת הנאה או מתת על ידי עובד ציבור בעד פעולה הקשורה בתפקידו. בפסיקה פורש המונח "בעד פעולה הקשורה בתפקידו" שבעבירת השוחד ככולל גם מצבים בהם עובד הציבור ביצע פעולה החורגת מתפקידיו וסמכויותיו (ע</w:t>
      </w:r>
      <w:r w:rsidRPr="002D43CD">
        <w:rPr>
          <w:rtl/>
        </w:rPr>
        <w:t>"פ 534/78 חיים קוביליו נ' מדינת ישראל, פד"י לד(2), 281</w:t>
      </w:r>
      <w:r w:rsidRPr="002D43CD">
        <w:rPr>
          <w:rFonts w:hint="cs"/>
          <w:rtl/>
        </w:rPr>
        <w:t>)</w:t>
      </w:r>
      <w:r w:rsidRPr="002D43CD">
        <w:rPr>
          <w:rtl/>
        </w:rPr>
        <w:t xml:space="preserve">. </w:t>
      </w:r>
      <w:r w:rsidRPr="002D43CD">
        <w:rPr>
          <w:rFonts w:hint="cs"/>
          <w:rtl/>
        </w:rPr>
        <w:t>כן נקבעה בפסיקה חזקה שבעובדה כי "מתת לעובד הציבור מאת אדם הנמצא עמו בקשר רשמי, ניתנת בעד פעולה הקשורה בתפקידו" וכי עובד הציבור המקבל מתת כזה, מודע לכך שהמתת ניתנת לו בעד פעולה הקשורה בתפקידו (</w:t>
      </w:r>
      <w:r w:rsidRPr="002D43CD">
        <w:rPr>
          <w:rtl/>
        </w:rPr>
        <w:t xml:space="preserve">ע"פ 1877/99 חיים בן עטר נ' מדינת ישראל, פד"י נג(4), 695, 713 </w:t>
      </w:r>
      <w:r w:rsidRPr="002D43CD">
        <w:rPr>
          <w:rFonts w:hint="cs"/>
          <w:rtl/>
        </w:rPr>
        <w:t xml:space="preserve">). להבדיל מעבירת השוחד, עבירת הפרת האמונים עוסקת במגוון מצבים בהם טובת ההנאה ניתנה לעובד הציבור או לקרוב שלא בעד פעולה הקשורה בתפקידו, גם לא במשמעות הרחבה הזו שניתנה למונח בפסיקה. כך למשל, </w:t>
      </w:r>
      <w:r w:rsidRPr="002D43CD">
        <w:rPr>
          <w:rtl/>
        </w:rPr>
        <w:t>עובד ציבור המקבל מתנה</w:t>
      </w:r>
      <w:r w:rsidRPr="002D43CD">
        <w:rPr>
          <w:rFonts w:hint="cs"/>
          <w:rtl/>
        </w:rPr>
        <w:t xml:space="preserve"> חריגה באופן משמעותי</w:t>
      </w:r>
      <w:r w:rsidRPr="002D43CD">
        <w:rPr>
          <w:rtl/>
        </w:rPr>
        <w:t xml:space="preserve"> </w:t>
      </w:r>
      <w:r w:rsidRPr="002D43CD">
        <w:rPr>
          <w:rFonts w:hint="cs"/>
          <w:rtl/>
        </w:rPr>
        <w:t xml:space="preserve">בשל </w:t>
      </w:r>
      <w:r w:rsidRPr="002D43CD">
        <w:rPr>
          <w:rtl/>
        </w:rPr>
        <w:t>מעמדו</w:t>
      </w:r>
      <w:r w:rsidRPr="002D43CD">
        <w:rPr>
          <w:rFonts w:hint="cs"/>
          <w:rtl/>
        </w:rPr>
        <w:t xml:space="preserve">, </w:t>
      </w:r>
      <w:r w:rsidRPr="002D43CD">
        <w:rPr>
          <w:rtl/>
        </w:rPr>
        <w:t xml:space="preserve">ללא קשר </w:t>
      </w:r>
      <w:r w:rsidRPr="002D43CD">
        <w:rPr>
          <w:rFonts w:hint="cs"/>
          <w:rtl/>
        </w:rPr>
        <w:t xml:space="preserve">ישיר או עקיף </w:t>
      </w:r>
      <w:r w:rsidRPr="002D43CD">
        <w:rPr>
          <w:rtl/>
        </w:rPr>
        <w:t>לפעולות הקשורות לתפקיד</w:t>
      </w:r>
      <w:r w:rsidRPr="002D43CD">
        <w:rPr>
          <w:rFonts w:hint="cs"/>
          <w:rtl/>
        </w:rPr>
        <w:t>ו</w:t>
      </w:r>
      <w:r w:rsidRPr="002D43CD">
        <w:rPr>
          <w:rtl/>
        </w:rPr>
        <w:t>.</w:t>
      </w:r>
      <w:r w:rsidRPr="002D43CD">
        <w:rPr>
          <w:rFonts w:hint="cs"/>
          <w:rtl/>
        </w:rPr>
        <w:t xml:space="preserve"> </w:t>
      </w:r>
    </w:p>
    <w:p w14:paraId="22A8DD07" w14:textId="77777777" w:rsidR="00DC746C" w:rsidRPr="002D43CD" w:rsidRDefault="00DC746C" w:rsidP="002D43CD">
      <w:pPr>
        <w:pStyle w:val="Hesber"/>
        <w:rPr>
          <w:b/>
          <w:bCs/>
        </w:rPr>
      </w:pPr>
      <w:r w:rsidRPr="002D43CD">
        <w:rPr>
          <w:rFonts w:hint="cs"/>
          <w:b/>
          <w:bCs/>
          <w:rtl/>
        </w:rPr>
        <w:t>(3)</w:t>
      </w:r>
      <w:r w:rsidRPr="002D43CD">
        <w:rPr>
          <w:rFonts w:hint="cs"/>
          <w:b/>
          <w:bCs/>
          <w:rtl/>
        </w:rPr>
        <w:tab/>
      </w:r>
      <w:r w:rsidRPr="002D43CD">
        <w:rPr>
          <w:b/>
          <w:bCs/>
          <w:rtl/>
        </w:rPr>
        <w:t xml:space="preserve">שימוש במידע </w:t>
      </w:r>
      <w:r w:rsidRPr="002D43CD">
        <w:rPr>
          <w:rFonts w:hint="cs"/>
          <w:b/>
          <w:bCs/>
          <w:rtl/>
        </w:rPr>
        <w:t>פנימי שהגיע לעובד הציבור במסגרת תפקידו או בקשר עם מילוי תפקידו, לרבות</w:t>
      </w:r>
      <w:r w:rsidRPr="002D43CD">
        <w:rPr>
          <w:b/>
          <w:bCs/>
          <w:rtl/>
        </w:rPr>
        <w:t xml:space="preserve"> </w:t>
      </w:r>
      <w:r w:rsidRPr="002D43CD">
        <w:rPr>
          <w:rFonts w:hint="cs"/>
          <w:b/>
          <w:bCs/>
          <w:rtl/>
        </w:rPr>
        <w:t>העברת מידע כאמור</w:t>
      </w:r>
      <w:r w:rsidRPr="002D43CD">
        <w:rPr>
          <w:b/>
          <w:bCs/>
          <w:rtl/>
        </w:rPr>
        <w:t xml:space="preserve"> לאחר, והכל לשם </w:t>
      </w:r>
      <w:r w:rsidRPr="002D43CD">
        <w:rPr>
          <w:rFonts w:hint="cs"/>
          <w:b/>
          <w:bCs/>
          <w:rtl/>
        </w:rPr>
        <w:t>הפקת טובת הנאה לעובד הציבור או לקרוב - סעיף קטן (ב)(3).</w:t>
      </w:r>
    </w:p>
    <w:p w14:paraId="43341A07" w14:textId="77777777" w:rsidR="00DC746C" w:rsidRPr="002D43CD" w:rsidRDefault="00DC746C" w:rsidP="002D43CD">
      <w:pPr>
        <w:pStyle w:val="Hesber"/>
        <w:rPr>
          <w:rtl/>
        </w:rPr>
      </w:pPr>
      <w:r w:rsidRPr="002D43CD">
        <w:rPr>
          <w:rFonts w:hint="cs"/>
          <w:rtl/>
        </w:rPr>
        <w:t xml:space="preserve">האיסור המוצע מתייחס למצב בו השימוש במידע או העברתו לאחר נועדו לשם הפקת טובת הנאה, כגון שימוש במידע פנים חסוי או שטרם התפרסם להשגת טובת הנאה לעובד הציבור או לקרוב. כוונה זו היא המקנה למעשה את אופיו המושחת, ומצדיקה הכללתו במסגרת העבירה של מרמה או הפרת אמונים </w:t>
      </w:r>
      <w:r w:rsidRPr="002D43CD">
        <w:rPr>
          <w:rtl/>
        </w:rPr>
        <w:t xml:space="preserve">– </w:t>
      </w:r>
      <w:r w:rsidRPr="002D43CD">
        <w:rPr>
          <w:rFonts w:hint="cs"/>
          <w:rtl/>
        </w:rPr>
        <w:t xml:space="preserve">זאת, </w:t>
      </w:r>
      <w:r w:rsidRPr="002D43CD">
        <w:rPr>
          <w:rtl/>
        </w:rPr>
        <w:t xml:space="preserve">בשונה מהעבירה </w:t>
      </w:r>
      <w:r w:rsidRPr="002D43CD">
        <w:rPr>
          <w:rFonts w:hint="cs"/>
          <w:rtl/>
        </w:rPr>
        <w:t>הקבועה ב</w:t>
      </w:r>
      <w:r w:rsidRPr="002D43CD">
        <w:rPr>
          <w:rtl/>
        </w:rPr>
        <w:t>סעיף 11</w:t>
      </w:r>
      <w:r w:rsidRPr="002D43CD">
        <w:rPr>
          <w:rFonts w:hint="cs"/>
          <w:rtl/>
        </w:rPr>
        <w:t>7(א)</w:t>
      </w:r>
      <w:r w:rsidRPr="002D43CD">
        <w:rPr>
          <w:rtl/>
        </w:rPr>
        <w:t xml:space="preserve"> לחוק העונשין של </w:t>
      </w:r>
      <w:r w:rsidRPr="002D43CD">
        <w:rPr>
          <w:rFonts w:hint="cs"/>
          <w:rtl/>
        </w:rPr>
        <w:t>מסירת מידע על ידי עובד ציבור למי שלא מוסמך לקבלה</w:t>
      </w:r>
      <w:r w:rsidRPr="002D43CD">
        <w:rPr>
          <w:rtl/>
        </w:rPr>
        <w:t xml:space="preserve"> (כגון הדלפה)</w:t>
      </w:r>
      <w:r w:rsidRPr="002D43CD">
        <w:rPr>
          <w:rFonts w:hint="cs"/>
          <w:rtl/>
        </w:rPr>
        <w:t>, שאינה כוללת דרישת מטרה כאמור.</w:t>
      </w:r>
    </w:p>
    <w:p w14:paraId="40D75922" w14:textId="77777777" w:rsidR="00DC746C" w:rsidRPr="002D43CD" w:rsidRDefault="00DC746C" w:rsidP="002D43CD">
      <w:pPr>
        <w:pStyle w:val="Hesber"/>
        <w:rPr>
          <w:rtl/>
        </w:rPr>
      </w:pPr>
      <w:r w:rsidRPr="002D43CD">
        <w:rPr>
          <w:rFonts w:hint="cs"/>
          <w:rtl/>
        </w:rPr>
        <w:t xml:space="preserve">כך למשל, שוטר אשר מגלה לקרוב משפחתו על כוונת המשטרה לערוך חיפוש בעסק שלו במסגרת חקירה פלילית, על מנת שהקרוב יוכל להיערך לחיפוש, ייכלל בנסיבה זו. </w:t>
      </w:r>
    </w:p>
    <w:p w14:paraId="208337FB" w14:textId="77777777" w:rsidR="00DC746C" w:rsidRPr="002D43CD" w:rsidRDefault="00DC746C" w:rsidP="002D43CD">
      <w:pPr>
        <w:pStyle w:val="Hesber"/>
        <w:rPr>
          <w:rtl/>
        </w:rPr>
      </w:pPr>
      <w:r w:rsidRPr="002D43CD">
        <w:rPr>
          <w:rFonts w:hint="cs"/>
          <w:rtl/>
        </w:rPr>
        <w:t xml:space="preserve">מוצע להחיל חלופה זו גם במצבים בהם עובד הציבור קיבל את המידע במהלך עבודתו, אולם עשה בו שימוש לשם הפקת טובת ההנאה לאחר שחדל להיות עובד ציבור, בדומה לקבוע בסעיף 117(א) לחוק העונשין. </w:t>
      </w:r>
    </w:p>
    <w:p w14:paraId="692FA78A" w14:textId="76C36586" w:rsidR="00DC746C" w:rsidRPr="002D43CD" w:rsidRDefault="00DC746C" w:rsidP="002D43CD">
      <w:pPr>
        <w:pStyle w:val="Hesber"/>
        <w:rPr>
          <w:b/>
          <w:bCs/>
        </w:rPr>
      </w:pPr>
      <w:r w:rsidRPr="002D43CD">
        <w:rPr>
          <w:rFonts w:hint="cs"/>
          <w:b/>
          <w:bCs/>
          <w:rtl/>
        </w:rPr>
        <w:t>(4)</w:t>
      </w:r>
      <w:r w:rsidRPr="002D43CD">
        <w:rPr>
          <w:rFonts w:hint="cs"/>
          <w:b/>
          <w:bCs/>
          <w:rtl/>
        </w:rPr>
        <w:tab/>
      </w:r>
      <w:r w:rsidRPr="002D43CD">
        <w:rPr>
          <w:b/>
          <w:bCs/>
          <w:rtl/>
        </w:rPr>
        <w:t>יצירת מצג שווא</w:t>
      </w:r>
      <w:r w:rsidRPr="002D43CD">
        <w:rPr>
          <w:rFonts w:hint="cs"/>
          <w:b/>
          <w:bCs/>
          <w:rtl/>
        </w:rPr>
        <w:t xml:space="preserve"> </w:t>
      </w:r>
      <w:r w:rsidRPr="002D43CD">
        <w:rPr>
          <w:b/>
          <w:bCs/>
          <w:rtl/>
        </w:rPr>
        <w:t xml:space="preserve">כלפי </w:t>
      </w:r>
      <w:r w:rsidRPr="002D43CD">
        <w:rPr>
          <w:rFonts w:hint="cs"/>
          <w:b/>
          <w:bCs/>
          <w:rtl/>
        </w:rPr>
        <w:t xml:space="preserve">רשות מרשויות השלטון וגוף ציבורי אחר הממלא תפקיד ציבורי על פי דין ומי שפועל מטעמם (להלן </w:t>
      </w:r>
      <w:r w:rsidRPr="002D43CD">
        <w:rPr>
          <w:b/>
          <w:bCs/>
          <w:rtl/>
        </w:rPr>
        <w:t>–</w:t>
      </w:r>
      <w:r w:rsidRPr="002D43CD">
        <w:rPr>
          <w:rFonts w:hint="cs"/>
          <w:b/>
          <w:bCs/>
          <w:rtl/>
        </w:rPr>
        <w:t xml:space="preserve"> גוף ציבורי)</w:t>
      </w:r>
      <w:r w:rsidRPr="002D43CD">
        <w:rPr>
          <w:b/>
          <w:bCs/>
          <w:rtl/>
        </w:rPr>
        <w:t>, או</w:t>
      </w:r>
      <w:r w:rsidRPr="002D43CD">
        <w:rPr>
          <w:rFonts w:hint="cs"/>
          <w:b/>
          <w:bCs/>
          <w:rtl/>
        </w:rPr>
        <w:t xml:space="preserve"> מסירת </w:t>
      </w:r>
      <w:r w:rsidRPr="002D43CD">
        <w:rPr>
          <w:b/>
          <w:bCs/>
          <w:rtl/>
        </w:rPr>
        <w:t xml:space="preserve">דיווח כוזב </w:t>
      </w:r>
      <w:r w:rsidRPr="002D43CD">
        <w:rPr>
          <w:rFonts w:hint="cs"/>
          <w:b/>
          <w:bCs/>
          <w:rtl/>
        </w:rPr>
        <w:t>לגוף ציבורי,</w:t>
      </w:r>
      <w:r w:rsidRPr="002D43CD">
        <w:rPr>
          <w:b/>
          <w:bCs/>
          <w:rtl/>
        </w:rPr>
        <w:t xml:space="preserve"> לרבות הסתרת מידע</w:t>
      </w:r>
      <w:r w:rsidRPr="002D43CD">
        <w:rPr>
          <w:rFonts w:hint="cs"/>
          <w:b/>
          <w:bCs/>
          <w:rtl/>
        </w:rPr>
        <w:t xml:space="preserve"> מהותי </w:t>
      </w:r>
      <w:r w:rsidRPr="002D43CD">
        <w:rPr>
          <w:b/>
          <w:bCs/>
          <w:rtl/>
        </w:rPr>
        <w:t xml:space="preserve">שבנסיבות העניין היה מוטל עליו לגלותו </w:t>
      </w:r>
      <w:r w:rsidRPr="002D43CD">
        <w:rPr>
          <w:rFonts w:hint="cs"/>
          <w:b/>
          <w:bCs/>
          <w:rtl/>
        </w:rPr>
        <w:t>לגוף הציבורי בכוונה לרמות</w:t>
      </w:r>
      <w:r w:rsidRPr="002D43CD">
        <w:rPr>
          <w:b/>
          <w:bCs/>
          <w:rtl/>
        </w:rPr>
        <w:t xml:space="preserve">, </w:t>
      </w:r>
      <w:r w:rsidRPr="002D43CD">
        <w:rPr>
          <w:rFonts w:hint="cs"/>
          <w:b/>
          <w:bCs/>
          <w:rtl/>
        </w:rPr>
        <w:t>והכל בקשר עם מילוי תפקידו או תוך שימוש במעמדו וכאשר יש בכך כדי</w:t>
      </w:r>
      <w:r w:rsidRPr="002D43CD">
        <w:rPr>
          <w:b/>
          <w:bCs/>
          <w:rtl/>
        </w:rPr>
        <w:t xml:space="preserve"> להשפיע על שיקול דעתו של </w:t>
      </w:r>
      <w:r w:rsidRPr="002D43CD">
        <w:rPr>
          <w:rFonts w:hint="cs"/>
          <w:b/>
          <w:bCs/>
          <w:rtl/>
        </w:rPr>
        <w:t xml:space="preserve">הגוף הציבורי </w:t>
      </w:r>
      <w:r w:rsidRPr="002D43CD">
        <w:rPr>
          <w:b/>
          <w:bCs/>
          <w:rtl/>
        </w:rPr>
        <w:t>במילוי תפקידו</w:t>
      </w:r>
      <w:r w:rsidRPr="002D43CD">
        <w:rPr>
          <w:rFonts w:hint="cs"/>
          <w:b/>
          <w:bCs/>
          <w:rtl/>
        </w:rPr>
        <w:t xml:space="preserve"> - </w:t>
      </w:r>
      <w:r w:rsidRPr="002D43CD">
        <w:rPr>
          <w:rFonts w:hint="cs"/>
          <w:b/>
          <w:bCs/>
          <w:rtl/>
        </w:rPr>
        <w:lastRenderedPageBreak/>
        <w:t>סעיף קטן (ב)(4).</w:t>
      </w:r>
    </w:p>
    <w:p w14:paraId="523B5CCB" w14:textId="53665959" w:rsidR="00DC746C" w:rsidRPr="002D43CD" w:rsidRDefault="00082A5A" w:rsidP="00082A5A">
      <w:pPr>
        <w:pStyle w:val="Hesber"/>
        <w:rPr>
          <w:rtl/>
        </w:rPr>
      </w:pPr>
      <w:r>
        <w:rPr>
          <w:rFonts w:hint="cs"/>
          <w:rtl/>
        </w:rPr>
        <w:t>פ</w:t>
      </w:r>
      <w:r w:rsidR="00DC746C" w:rsidRPr="002D43CD">
        <w:rPr>
          <w:rFonts w:hint="cs"/>
          <w:rtl/>
        </w:rPr>
        <w:t xml:space="preserve">סקה זו כוללת מקרים בהם עובד ציבור יוצר מצג שווא בפני גוף ציבורי או מוסר לו מידע כוזב כאשר יש בכך כדי להשפיע על שיקול הדעת של הגוף הציבורי במילוי תפקידו. מדובר בהתנהגות אשר פוגעת בתפקודו התקין של השירות הציבורי ובאמון של הציבור בו, ועל כן היא כשלעצמה מצדיקה הכללתו במסגרת העבירה של מרמה והפרת אמונים, גם אם הדיווח הכוזב לא היה במטרה להשיג טובת הנאה, יתרון או להשיג מטרה אחרת כלשהי. עם זאת כאשר מצג השווא הוא הסתרת מידע מהותי שבנסיבות העניין נדרש היה לגלותו, יש צורך בכוונה מיוחדת מצד עובד הציבור לרמות. המונח "לרמות" מוגדר בסעיף 414 לחוק העונשין "להביא אדם במרמה לידי מעשה או מחדל". כך למשל, כאשר ראש עיר מסתיר מחברי מועצת העיר מידע מהותי רלוונטי, </w:t>
      </w:r>
      <w:r>
        <w:rPr>
          <w:rFonts w:hint="cs"/>
          <w:rtl/>
        </w:rPr>
        <w:t xml:space="preserve">כדי </w:t>
      </w:r>
      <w:r w:rsidR="00DC746C" w:rsidRPr="002D43CD">
        <w:rPr>
          <w:rFonts w:hint="cs"/>
          <w:rtl/>
        </w:rPr>
        <w:t xml:space="preserve">שתאשר תקצובה של עמותה </w:t>
      </w:r>
      <w:r w:rsidR="00DC746C" w:rsidRPr="002D43CD">
        <w:rPr>
          <w:rtl/>
        </w:rPr>
        <w:t>–</w:t>
      </w:r>
      <w:r w:rsidR="00DC746C" w:rsidRPr="002D43CD">
        <w:rPr>
          <w:rFonts w:hint="cs"/>
          <w:rtl/>
        </w:rPr>
        <w:t xml:space="preserve"> מעשיו יהוו עבירה של מרמה והפרת אמונים (</w:t>
      </w:r>
      <w:r w:rsidR="00DC746C" w:rsidRPr="002D43CD">
        <w:rPr>
          <w:rtl/>
        </w:rPr>
        <w:t>ראו ע"פ 281/82 אבוחצירא נ' מדינת ישראל לז(3) 673</w:t>
      </w:r>
      <w:r w:rsidR="00DC746C" w:rsidRPr="002D43CD">
        <w:rPr>
          <w:rFonts w:hint="cs"/>
          <w:rtl/>
        </w:rPr>
        <w:t>)</w:t>
      </w:r>
    </w:p>
    <w:p w14:paraId="4A63CB5C" w14:textId="77777777" w:rsidR="00DC746C" w:rsidRPr="002D43CD" w:rsidRDefault="00DC746C" w:rsidP="002D43CD">
      <w:pPr>
        <w:pStyle w:val="Hesber"/>
        <w:rPr>
          <w:b/>
          <w:bCs/>
          <w:rtl/>
        </w:rPr>
      </w:pPr>
      <w:r w:rsidRPr="002D43CD">
        <w:rPr>
          <w:rFonts w:hint="cs"/>
          <w:b/>
          <w:bCs/>
          <w:rtl/>
        </w:rPr>
        <w:t>(5)</w:t>
      </w:r>
      <w:r w:rsidRPr="002D43CD">
        <w:rPr>
          <w:b/>
          <w:bCs/>
          <w:rtl/>
        </w:rPr>
        <w:tab/>
      </w:r>
      <w:r w:rsidRPr="002D43CD">
        <w:rPr>
          <w:rFonts w:hint="cs"/>
          <w:b/>
          <w:bCs/>
          <w:rtl/>
        </w:rPr>
        <w:t>יצירת מצג שווא או מסירת מידע כוזב במסגרת תפקידו כעובד ציבור לאדם שאינו עובד ציבור, הנזקק לשירותיו כעובד ציבור, והכל כשיש בכך כדי להשפיע על זכויותיו של אדם, לרבות הסתרת מידע מהותי בעניין כאמור, אשר בנסיבות העניין היה מוטל עליו לגלותו, בכוונה לרמות.</w:t>
      </w:r>
    </w:p>
    <w:p w14:paraId="717D6CAC" w14:textId="120F8B27" w:rsidR="00DC746C" w:rsidRDefault="00DC746C" w:rsidP="002D43CD">
      <w:pPr>
        <w:pStyle w:val="Hesber"/>
        <w:rPr>
          <w:rtl/>
        </w:rPr>
      </w:pPr>
      <w:r w:rsidRPr="002D43CD">
        <w:rPr>
          <w:rFonts w:hint="cs"/>
          <w:rtl/>
        </w:rPr>
        <w:t>חלופה זו נבדלת מפסקה (4) בכך שהיא חלה על יצירת מצג שוו</w:t>
      </w:r>
      <w:r w:rsidRPr="002D43CD">
        <w:rPr>
          <w:rFonts w:hint="eastAsia"/>
          <w:rtl/>
        </w:rPr>
        <w:t>א</w:t>
      </w:r>
      <w:r w:rsidRPr="002D43CD">
        <w:rPr>
          <w:rFonts w:hint="cs"/>
          <w:rtl/>
        </w:rPr>
        <w:t xml:space="preserve"> או מסירת מידע כוזב לכל אדם הנזקק לשרותיו של עובד הציבור במסגרת תפקידו.</w:t>
      </w:r>
      <w:r w:rsidR="00082A5A">
        <w:rPr>
          <w:rFonts w:hint="cs"/>
          <w:rtl/>
        </w:rPr>
        <w:t xml:space="preserve"> בניגוד למעשה של מצג שווא לפי פ</w:t>
      </w:r>
      <w:r w:rsidRPr="002D43CD">
        <w:rPr>
          <w:rFonts w:hint="cs"/>
          <w:rtl/>
        </w:rPr>
        <w:t>סקה (4), שיש בו, בין היתר, כדי לשבש ולפגוע בפעולתו של השירות הציבורי</w:t>
      </w:r>
      <w:r w:rsidR="00082A5A">
        <w:rPr>
          <w:rFonts w:hint="cs"/>
          <w:rtl/>
        </w:rPr>
        <w:t>, הרי שחומרתו של מצג שווא לפי פ</w:t>
      </w:r>
      <w:r w:rsidRPr="002D43CD">
        <w:rPr>
          <w:rFonts w:hint="cs"/>
          <w:rtl/>
        </w:rPr>
        <w:t>סקה (5) הוא בפוטנציאל הפגיעה בזכויותיו של אדם הנזקק לשירותיו של עובד הציבור. כך למשל, הנסיבה תחול כאשר פקיד האחראי על תשלום גמלאות מסתיר מידע מפונים בדבר זכאותם לגמלה בכוונה לרמותם.</w:t>
      </w:r>
      <w:r w:rsidRPr="002F7084">
        <w:rPr>
          <w:rFonts w:hint="cs"/>
          <w:rtl/>
        </w:rPr>
        <w:t xml:space="preserve"> </w:t>
      </w:r>
    </w:p>
    <w:p w14:paraId="071A2BD0" w14:textId="77777777" w:rsidR="00082A5A" w:rsidRDefault="00082A5A" w:rsidP="002D43CD">
      <w:pPr>
        <w:pStyle w:val="Hesber"/>
        <w:rPr>
          <w:rtl/>
        </w:rPr>
      </w:pPr>
    </w:p>
    <w:p w14:paraId="58E3746F" w14:textId="77777777" w:rsidR="00082A5A" w:rsidRDefault="00082A5A" w:rsidP="002D43CD">
      <w:pPr>
        <w:pStyle w:val="Hesber"/>
        <w:rPr>
          <w:rtl/>
        </w:rPr>
      </w:pPr>
    </w:p>
    <w:p w14:paraId="61B396C1" w14:textId="77777777" w:rsidR="00082A5A" w:rsidRDefault="00082A5A" w:rsidP="002D43CD">
      <w:pPr>
        <w:pStyle w:val="Hesber"/>
        <w:rPr>
          <w:rtl/>
        </w:rPr>
      </w:pPr>
    </w:p>
    <w:p w14:paraId="0061B269" w14:textId="1E7516C9" w:rsidR="003B3299" w:rsidRDefault="003B3299" w:rsidP="002D43CD">
      <w:pPr>
        <w:pStyle w:val="Hesber"/>
        <w:rPr>
          <w:rtl/>
        </w:rPr>
      </w:pPr>
    </w:p>
    <w:p w14:paraId="5E347B8F" w14:textId="77777777" w:rsidR="003B3299" w:rsidRDefault="003B3299" w:rsidP="002D43CD">
      <w:pPr>
        <w:pStyle w:val="Hesber"/>
        <w:rPr>
          <w:rtl/>
        </w:rPr>
      </w:pPr>
    </w:p>
    <w:p w14:paraId="45F0D9FB" w14:textId="77777777" w:rsidR="00082A5A" w:rsidRPr="003C5528" w:rsidRDefault="00082A5A" w:rsidP="003C5528">
      <w:pPr>
        <w:pStyle w:val="Hesber"/>
        <w:rPr>
          <w:rtl/>
        </w:rPr>
      </w:pPr>
      <w:r w:rsidRPr="003C5528">
        <w:rPr>
          <w:rtl/>
        </w:rPr>
        <w:t>---------------------------------</w:t>
      </w:r>
    </w:p>
    <w:p w14:paraId="43E753F7" w14:textId="77777777" w:rsidR="00082A5A" w:rsidRPr="003C5528" w:rsidRDefault="00082A5A" w:rsidP="003C5528">
      <w:pPr>
        <w:pStyle w:val="Hesber"/>
        <w:rPr>
          <w:rtl/>
        </w:rPr>
      </w:pPr>
      <w:r w:rsidRPr="003C5528">
        <w:rPr>
          <w:rFonts w:hint="cs"/>
          <w:rtl/>
        </w:rPr>
        <w:t>הוגשה</w:t>
      </w:r>
      <w:r w:rsidRPr="003C5528">
        <w:rPr>
          <w:rtl/>
        </w:rPr>
        <w:t xml:space="preserve"> </w:t>
      </w:r>
      <w:r w:rsidRPr="003C5528">
        <w:rPr>
          <w:rFonts w:hint="cs"/>
          <w:rtl/>
        </w:rPr>
        <w:t>ליו</w:t>
      </w:r>
      <w:r w:rsidRPr="003C5528">
        <w:rPr>
          <w:rtl/>
        </w:rPr>
        <w:t>"</w:t>
      </w:r>
      <w:r w:rsidRPr="003C5528">
        <w:rPr>
          <w:rFonts w:hint="cs"/>
          <w:rtl/>
        </w:rPr>
        <w:t>ר</w:t>
      </w:r>
      <w:r w:rsidRPr="003C5528">
        <w:rPr>
          <w:rtl/>
        </w:rPr>
        <w:t xml:space="preserve"> </w:t>
      </w:r>
      <w:r w:rsidRPr="003C5528">
        <w:rPr>
          <w:rFonts w:hint="cs"/>
          <w:rtl/>
        </w:rPr>
        <w:t>הכנסת</w:t>
      </w:r>
      <w:r w:rsidRPr="003C5528">
        <w:rPr>
          <w:rtl/>
        </w:rPr>
        <w:t xml:space="preserve"> </w:t>
      </w:r>
      <w:r w:rsidRPr="003C5528">
        <w:rPr>
          <w:rFonts w:hint="cs"/>
          <w:rtl/>
        </w:rPr>
        <w:t>והסגנים</w:t>
      </w:r>
    </w:p>
    <w:p w14:paraId="1C8D0625" w14:textId="77777777" w:rsidR="00082A5A" w:rsidRPr="003C5528" w:rsidRDefault="00082A5A" w:rsidP="003C5528">
      <w:pPr>
        <w:pStyle w:val="Hesber"/>
        <w:rPr>
          <w:rtl/>
        </w:rPr>
      </w:pPr>
      <w:r w:rsidRPr="003C5528">
        <w:rPr>
          <w:rFonts w:hint="cs"/>
          <w:rtl/>
        </w:rPr>
        <w:t>והונחה</w:t>
      </w:r>
      <w:r w:rsidRPr="003C5528">
        <w:rPr>
          <w:rtl/>
        </w:rPr>
        <w:t xml:space="preserve"> </w:t>
      </w:r>
      <w:r w:rsidRPr="003C5528">
        <w:rPr>
          <w:rFonts w:hint="cs"/>
          <w:rtl/>
        </w:rPr>
        <w:t>על</w:t>
      </w:r>
      <w:r w:rsidRPr="003C5528">
        <w:rPr>
          <w:rtl/>
        </w:rPr>
        <w:t xml:space="preserve"> </w:t>
      </w:r>
      <w:r w:rsidRPr="003C5528">
        <w:rPr>
          <w:rFonts w:hint="cs"/>
          <w:rtl/>
        </w:rPr>
        <w:t>שולחן</w:t>
      </w:r>
      <w:r w:rsidRPr="003C5528">
        <w:rPr>
          <w:rtl/>
        </w:rPr>
        <w:t xml:space="preserve"> </w:t>
      </w:r>
      <w:r w:rsidRPr="003C5528">
        <w:rPr>
          <w:rFonts w:hint="cs"/>
          <w:rtl/>
        </w:rPr>
        <w:t>הכנסת</w:t>
      </w:r>
      <w:r w:rsidRPr="003C5528">
        <w:rPr>
          <w:rtl/>
        </w:rPr>
        <w:t xml:space="preserve"> </w:t>
      </w:r>
      <w:r w:rsidRPr="003C5528">
        <w:rPr>
          <w:rFonts w:hint="cs"/>
          <w:rtl/>
        </w:rPr>
        <w:t>ביום</w:t>
      </w:r>
    </w:p>
    <w:p w14:paraId="32470E12" w14:textId="194B7F5C" w:rsidR="00082A5A" w:rsidRPr="002F7084" w:rsidRDefault="00082A5A" w:rsidP="00082A5A">
      <w:pPr>
        <w:pStyle w:val="Hesber"/>
        <w:rPr>
          <w:rtl/>
        </w:rPr>
      </w:pPr>
      <w:r>
        <w:rPr>
          <w:rFonts w:hint="cs"/>
          <w:rtl/>
        </w:rPr>
        <w:t>י"ב בתמוז</w:t>
      </w:r>
      <w:r w:rsidRPr="003C5528">
        <w:rPr>
          <w:rtl/>
        </w:rPr>
        <w:t xml:space="preserve"> </w:t>
      </w:r>
      <w:r w:rsidRPr="003C5528">
        <w:rPr>
          <w:rFonts w:hint="cs"/>
          <w:rtl/>
        </w:rPr>
        <w:t>התשע</w:t>
      </w:r>
      <w:r w:rsidRPr="003C5528">
        <w:rPr>
          <w:rtl/>
        </w:rPr>
        <w:t>"</w:t>
      </w:r>
      <w:r w:rsidRPr="003C5528">
        <w:rPr>
          <w:rFonts w:hint="cs"/>
          <w:rtl/>
        </w:rPr>
        <w:t>ו</w:t>
      </w:r>
      <w:r w:rsidRPr="003C5528">
        <w:rPr>
          <w:rtl/>
        </w:rPr>
        <w:t xml:space="preserve"> – </w:t>
      </w:r>
      <w:r>
        <w:rPr>
          <w:rFonts w:hint="cs"/>
          <w:rtl/>
        </w:rPr>
        <w:t>18.7</w:t>
      </w:r>
      <w:r w:rsidRPr="003C5528">
        <w:rPr>
          <w:rFonts w:hint="cs"/>
          <w:rtl/>
        </w:rPr>
        <w:t>.16</w:t>
      </w:r>
    </w:p>
    <w:p w14:paraId="73BF0408" w14:textId="77777777" w:rsidR="00DC746C" w:rsidRPr="002F7084" w:rsidRDefault="00DC746C" w:rsidP="00DC746C">
      <w:pPr>
        <w:tabs>
          <w:tab w:val="left" w:pos="0"/>
          <w:tab w:val="left" w:pos="567"/>
          <w:tab w:val="left" w:leader="hyphen" w:pos="1134"/>
        </w:tabs>
        <w:spacing w:line="360" w:lineRule="auto"/>
        <w:rPr>
          <w:rFonts w:ascii="David" w:hAnsi="David" w:cs="David"/>
          <w:sz w:val="24"/>
          <w:szCs w:val="24"/>
          <w:rtl/>
        </w:rPr>
      </w:pPr>
    </w:p>
    <w:p w14:paraId="020AA95C" w14:textId="77777777" w:rsidR="00DC746C" w:rsidRPr="008C6688" w:rsidRDefault="00DC746C" w:rsidP="00DC746C">
      <w:pPr>
        <w:pStyle w:val="Hesber"/>
        <w:ind w:firstLine="0"/>
        <w:rPr>
          <w:sz w:val="24"/>
          <w:szCs w:val="24"/>
          <w:rtl/>
        </w:rPr>
      </w:pPr>
    </w:p>
    <w:p w14:paraId="7F6961CB" w14:textId="53E1E93A" w:rsidR="00E13C27" w:rsidRPr="00DC746C" w:rsidRDefault="00E13C27" w:rsidP="00DC746C">
      <w:pPr>
        <w:rPr>
          <w:rtl/>
        </w:rPr>
      </w:pPr>
    </w:p>
    <w:sectPr w:rsidR="00E13C27" w:rsidRPr="00DC746C"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3B3299">
      <w:rPr>
        <w:rStyle w:val="aa"/>
        <w:noProof/>
        <w:rtl/>
      </w:rPr>
      <w:t>6</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2EF73F90" w14:textId="0E61316E" w:rsidR="00082A5A" w:rsidRDefault="00082A5A">
      <w:pPr>
        <w:pStyle w:val="a4"/>
        <w:rPr>
          <w:rFonts w:hint="cs"/>
          <w:rtl/>
        </w:rPr>
      </w:pPr>
      <w:r>
        <w:rPr>
          <w:rStyle w:val="a5"/>
        </w:rPr>
        <w:footnoteRef/>
      </w:r>
      <w:r>
        <w:rPr>
          <w:rtl/>
        </w:rPr>
        <w:t xml:space="preserve"> </w:t>
      </w:r>
      <w:r>
        <w:rPr>
          <w:rFonts w:hint="cs"/>
          <w:rtl/>
        </w:rPr>
        <w:t>ס"ח התשל"ז, עמ' 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B51FC9"/>
    <w:multiLevelType w:val="hybridMultilevel"/>
    <w:tmpl w:val="CB5030D8"/>
    <w:lvl w:ilvl="0" w:tplc="39747E2A">
      <w:start w:val="1"/>
      <w:numFmt w:val="decimal"/>
      <w:lvlText w:val="(%1)"/>
      <w:lvlJc w:val="left"/>
      <w:pPr>
        <w:tabs>
          <w:tab w:val="num" w:pos="927"/>
        </w:tabs>
        <w:ind w:left="927" w:hanging="360"/>
      </w:pPr>
      <w:rPr>
        <w:rFonts w:hint="default"/>
        <w:lang w:bidi="he-IL"/>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82A5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D43CD"/>
    <w:rsid w:val="002F1D80"/>
    <w:rsid w:val="002F7084"/>
    <w:rsid w:val="003232A2"/>
    <w:rsid w:val="00325C14"/>
    <w:rsid w:val="0036422C"/>
    <w:rsid w:val="003710F6"/>
    <w:rsid w:val="00386E88"/>
    <w:rsid w:val="00396585"/>
    <w:rsid w:val="003B3299"/>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6688"/>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B23EA"/>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7774"/>
    <w:rsid w:val="00D63620"/>
    <w:rsid w:val="00D8410D"/>
    <w:rsid w:val="00D867D7"/>
    <w:rsid w:val="00DB7060"/>
    <w:rsid w:val="00DC746C"/>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3550D"/>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089D7304-8B63-40AB-86B5-7069EF3E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7269EEBA-A483-42B7-8306-58A4389A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092DE601-456A-4A0C-815C-1BE0A3D9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2055</Words>
  <Characters>10275</Characters>
  <Application>Microsoft Office Word</Application>
  <DocSecurity>0</DocSecurity>
  <Lines>85</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דפנה ברנאי</cp:lastModifiedBy>
  <cp:revision>10</cp:revision>
  <cp:lastPrinted>2013-07-04T08:25:00Z</cp:lastPrinted>
  <dcterms:created xsi:type="dcterms:W3CDTF">2015-04-20T09:58:00Z</dcterms:created>
  <dcterms:modified xsi:type="dcterms:W3CDTF">2016-07-14T09:51:00Z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2004813</vt:r8>
  </property>
</Properties>
</file>