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EB614" w14:textId="77777777" w:rsidR="009D65BE" w:rsidRPr="0000131B" w:rsidRDefault="009D65BE" w:rsidP="009D65BE">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577014</w:t>
      </w:r>
      <w:bookmarkEnd w:id="0"/>
    </w:p>
    <w:p w14:paraId="622BF096" w14:textId="77777777" w:rsidR="009D65BE" w:rsidRPr="00DB7060" w:rsidRDefault="009D65BE" w:rsidP="009D65BE">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4AB98F3C" w14:textId="77777777" w:rsidR="009D65BE" w:rsidRPr="00F67051" w:rsidRDefault="009D65BE" w:rsidP="009D65BE">
      <w:pPr>
        <w:rPr>
          <w:rFonts w:cs="David"/>
          <w:b/>
          <w:bCs/>
          <w:sz w:val="26"/>
          <w:szCs w:val="26"/>
          <w:rtl/>
        </w:rPr>
      </w:pPr>
    </w:p>
    <w:p w14:paraId="09A1D3A4" w14:textId="1B2E97C1" w:rsidR="009D65BE" w:rsidRPr="00CF1AA2" w:rsidRDefault="009D65BE" w:rsidP="00B941A2">
      <w:pPr>
        <w:pStyle w:val="David"/>
        <w:spacing w:line="360" w:lineRule="auto"/>
        <w:ind w:left="3544"/>
        <w:rPr>
          <w:b/>
          <w:bCs/>
          <w:sz w:val="16"/>
          <w:szCs w:val="16"/>
          <w:rtl/>
        </w:rPr>
      </w:pPr>
      <w:bookmarkStart w:id="2" w:name="LGS_Initiators_List"/>
      <w:r>
        <w:rPr>
          <w:b/>
          <w:bCs/>
          <w:rtl/>
        </w:rPr>
        <w:t>יוזמים:      חברי הכנסת</w:t>
      </w:r>
      <w:bookmarkEnd w:id="2"/>
      <w:r w:rsidRPr="00F67051">
        <w:rPr>
          <w:b/>
          <w:bCs/>
        </w:rPr>
        <w:tab/>
      </w:r>
      <w:bookmarkStart w:id="3" w:name="LGS_PM_Names"/>
      <w:r>
        <w:rPr>
          <w:rFonts w:hint="cs"/>
          <w:b/>
          <w:bCs/>
          <w:rtl/>
        </w:rPr>
        <w:t>רויטל סויד</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יואב בן צור</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חיים ילין</w:t>
      </w:r>
      <w:r>
        <w:br/>
      </w:r>
      <w:r>
        <w:rPr>
          <w:rFonts w:hint="cs"/>
          <w:b/>
          <w:bCs/>
          <w:rtl/>
        </w:rPr>
        <w:t xml:space="preserve"> </w:t>
      </w:r>
      <w:r>
        <w:tab/>
      </w:r>
      <w:r>
        <w:tab/>
      </w:r>
      <w:r>
        <w:tab/>
      </w:r>
      <w:r>
        <w:tab/>
      </w:r>
      <w:r>
        <w:rPr>
          <w:rFonts w:hint="cs"/>
          <w:b/>
          <w:bCs/>
          <w:rtl/>
        </w:rPr>
        <w:t>יואל רזבוזוב</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איציק שמולי</w:t>
      </w:r>
      <w:r>
        <w:br/>
      </w:r>
      <w:r>
        <w:rPr>
          <w:rFonts w:hint="cs"/>
          <w:b/>
          <w:bCs/>
          <w:rtl/>
        </w:rPr>
        <w:t xml:space="preserve"> </w:t>
      </w:r>
      <w:r>
        <w:tab/>
      </w:r>
      <w:r>
        <w:tab/>
      </w:r>
      <w:r>
        <w:tab/>
      </w:r>
      <w:r>
        <w:tab/>
      </w:r>
      <w:r>
        <w:rPr>
          <w:rFonts w:hint="cs"/>
          <w:b/>
          <w:bCs/>
          <w:rtl/>
        </w:rPr>
        <w:t>אמיר אוחנה</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שרן השכל</w:t>
      </w:r>
      <w:r>
        <w:br/>
      </w:r>
      <w:r>
        <w:rPr>
          <w:rFonts w:hint="cs"/>
          <w:b/>
          <w:bCs/>
          <w:rtl/>
        </w:rPr>
        <w:t xml:space="preserve"> </w:t>
      </w:r>
      <w:r>
        <w:tab/>
      </w:r>
      <w:r>
        <w:tab/>
      </w:r>
      <w:r>
        <w:tab/>
      </w:r>
      <w:r>
        <w:tab/>
      </w:r>
      <w:r>
        <w:rPr>
          <w:rFonts w:hint="cs"/>
          <w:b/>
          <w:bCs/>
          <w:rtl/>
        </w:rPr>
        <w:t>יחיאל חיליק בר</w:t>
      </w:r>
      <w:r>
        <w:br/>
      </w:r>
      <w:r>
        <w:rPr>
          <w:rFonts w:hint="cs"/>
          <w:b/>
          <w:bCs/>
          <w:rtl/>
        </w:rPr>
        <w:t xml:space="preserve"> </w:t>
      </w:r>
      <w:r>
        <w:tab/>
      </w:r>
      <w:r>
        <w:tab/>
      </w:r>
      <w:r>
        <w:tab/>
      </w:r>
      <w:r>
        <w:tab/>
      </w:r>
      <w:r>
        <w:rPr>
          <w:rFonts w:hint="cs"/>
          <w:b/>
          <w:bCs/>
          <w:rtl/>
        </w:rPr>
        <w:t>עמיר פרץ</w:t>
      </w:r>
      <w:r>
        <w:br/>
      </w:r>
      <w:r>
        <w:rPr>
          <w:rFonts w:hint="cs"/>
          <w:b/>
          <w:bCs/>
          <w:rtl/>
        </w:rPr>
        <w:t xml:space="preserve"> </w:t>
      </w:r>
      <w:r>
        <w:tab/>
      </w:r>
      <w:r>
        <w:tab/>
      </w:r>
      <w:r>
        <w:tab/>
      </w:r>
      <w:r>
        <w:tab/>
      </w:r>
      <w:r>
        <w:rPr>
          <w:rFonts w:hint="cs"/>
          <w:b/>
          <w:bCs/>
          <w:rtl/>
        </w:rPr>
        <w:t>עמר בר-לב</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אורי מקלב</w:t>
      </w:r>
      <w:r>
        <w:br/>
      </w:r>
      <w:r>
        <w:rPr>
          <w:rFonts w:hint="cs"/>
          <w:b/>
          <w:bCs/>
          <w:rtl/>
        </w:rPr>
        <w:t xml:space="preserve"> </w:t>
      </w:r>
      <w:r>
        <w:tab/>
      </w:r>
      <w:r>
        <w:tab/>
      </w:r>
      <w:r>
        <w:tab/>
      </w:r>
      <w:r>
        <w:tab/>
      </w:r>
      <w:r>
        <w:rPr>
          <w:rFonts w:hint="cs"/>
          <w:b/>
          <w:bCs/>
          <w:rtl/>
        </w:rPr>
        <w:t xml:space="preserve">אורלי </w:t>
      </w:r>
      <w:bookmarkStart w:id="4" w:name="_GoBack"/>
      <w:bookmarkEnd w:id="4"/>
      <w:r>
        <w:rPr>
          <w:rFonts w:hint="cs"/>
          <w:b/>
          <w:bCs/>
          <w:rtl/>
        </w:rPr>
        <w:t>לוי אבקסיס</w:t>
      </w:r>
      <w:r>
        <w:br/>
      </w:r>
      <w:r>
        <w:rPr>
          <w:rFonts w:hint="cs"/>
          <w:b/>
          <w:bCs/>
          <w:rtl/>
        </w:rPr>
        <w:t xml:space="preserve"> </w:t>
      </w:r>
      <w:r>
        <w:tab/>
      </w:r>
      <w:r>
        <w:tab/>
      </w:r>
      <w:r>
        <w:tab/>
      </w:r>
      <w:r>
        <w:tab/>
      </w:r>
      <w:r>
        <w:rPr>
          <w:rFonts w:hint="cs"/>
          <w:b/>
          <w:bCs/>
          <w:rtl/>
        </w:rPr>
        <w:t>יגאל גואטה</w:t>
      </w:r>
      <w:bookmarkStart w:id="5" w:name="LGS_Join_List"/>
      <w:bookmarkEnd w:id="3"/>
      <w:r>
        <w:rPr>
          <w:rtl/>
        </w:rPr>
        <w:t xml:space="preserve"> </w:t>
      </w:r>
      <w:bookmarkEnd w:id="5"/>
      <w:r w:rsidRPr="00CF1AA2">
        <w:rPr>
          <w:rFonts w:hint="cs"/>
          <w:rtl/>
        </w:rPr>
        <w:tab/>
      </w:r>
      <w:bookmarkStart w:id="6" w:name="LGS_PM_NamesJoin"/>
      <w:r>
        <w:rPr>
          <w:rFonts w:hint="cs"/>
          <w:rtl/>
        </w:rPr>
        <w:t xml:space="preserve"> </w:t>
      </w:r>
      <w:bookmarkEnd w:id="6"/>
    </w:p>
    <w:p w14:paraId="204103B6" w14:textId="77777777" w:rsidR="009D65BE" w:rsidRPr="00904591" w:rsidRDefault="009D65BE" w:rsidP="009D65BE">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79381B61" w14:textId="77777777" w:rsidR="009D65BE" w:rsidRPr="00E06736" w:rsidRDefault="009D65BE" w:rsidP="009D65BE">
      <w:pPr>
        <w:pStyle w:val="David"/>
        <w:spacing w:before="0" w:line="240" w:lineRule="auto"/>
        <w:ind w:left="3544"/>
        <w:rPr>
          <w:rtl/>
        </w:rPr>
      </w:pPr>
      <w:r>
        <w:t xml:space="preserve">                                             </w:t>
      </w:r>
      <w:bookmarkStart w:id="7" w:name="Private_Number"/>
      <w:r>
        <w:rPr>
          <w:rFonts w:hint="cs"/>
          <w:rtl/>
        </w:rPr>
        <w:t>פ/3110/20</w:t>
      </w:r>
      <w:bookmarkEnd w:id="7"/>
    </w:p>
    <w:p w14:paraId="787F5644" w14:textId="77777777" w:rsidR="009D65BE" w:rsidRDefault="009D65BE" w:rsidP="009D65BE">
      <w:pPr>
        <w:spacing w:before="0" w:line="360" w:lineRule="auto"/>
        <w:ind w:left="2880" w:firstLine="720"/>
        <w:rPr>
          <w:rFonts w:cs="David"/>
          <w:sz w:val="26"/>
          <w:szCs w:val="26"/>
          <w:rtl/>
        </w:rPr>
      </w:pPr>
    </w:p>
    <w:p w14:paraId="481D5C9F" w14:textId="6EBE7157" w:rsidR="009D65BE" w:rsidRPr="00F67051" w:rsidRDefault="009D65BE" w:rsidP="00252C18">
      <w:pPr>
        <w:pStyle w:val="HeadHatzaotHok"/>
        <w:spacing w:line="240" w:lineRule="auto"/>
        <w:rPr>
          <w:rtl/>
        </w:rPr>
      </w:pPr>
      <w:bookmarkStart w:id="8" w:name="LGS_Subject"/>
      <w:r>
        <w:rPr>
          <w:rFonts w:hint="cs"/>
          <w:rtl/>
        </w:rPr>
        <w:t>הצעת חוק הסרת פרסום הסתה שהתפרסם ברשת החברתית המקוונת, התשע"ו</w:t>
      </w:r>
      <w:r w:rsidR="00252C18">
        <w:rPr>
          <w:rFonts w:hint="eastAsia"/>
          <w:rtl/>
        </w:rPr>
        <w:t>–</w:t>
      </w:r>
      <w:r>
        <w:rPr>
          <w:rFonts w:hint="cs"/>
          <w:rtl/>
        </w:rPr>
        <w:t>2016</w:t>
      </w:r>
      <w:bookmarkEnd w:id="8"/>
    </w:p>
    <w:p w14:paraId="29772B96" w14:textId="77777777" w:rsidR="009D65BE" w:rsidRDefault="009D65BE" w:rsidP="00252C18">
      <w:pPr>
        <w:pStyle w:val="HeadDivreiHesber"/>
        <w:spacing w:before="0" w:after="0" w:line="240" w:lineRule="auto"/>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520"/>
      </w:tblGrid>
      <w:tr w:rsidR="009D65BE" w14:paraId="0CE713FD" w14:textId="77777777" w:rsidTr="00CE42B2">
        <w:trPr>
          <w:cantSplit/>
        </w:trPr>
        <w:tc>
          <w:tcPr>
            <w:tcW w:w="1870" w:type="dxa"/>
          </w:tcPr>
          <w:p w14:paraId="5BCFDB94" w14:textId="77777777" w:rsidR="009D65BE" w:rsidRDefault="009D65BE" w:rsidP="005272AF">
            <w:pPr>
              <w:pStyle w:val="TableSideHeading"/>
            </w:pPr>
            <w:r>
              <w:rPr>
                <w:rFonts w:hint="cs"/>
                <w:rtl/>
              </w:rPr>
              <w:t>הגדרות</w:t>
            </w:r>
          </w:p>
        </w:tc>
        <w:tc>
          <w:tcPr>
            <w:tcW w:w="624" w:type="dxa"/>
          </w:tcPr>
          <w:p w14:paraId="50279E8C" w14:textId="77777777" w:rsidR="009D65BE" w:rsidRDefault="009D65BE" w:rsidP="005272AF">
            <w:pPr>
              <w:pStyle w:val="TableText"/>
            </w:pPr>
            <w:r>
              <w:rPr>
                <w:rFonts w:hint="cs"/>
                <w:rtl/>
              </w:rPr>
              <w:t>1.</w:t>
            </w:r>
          </w:p>
        </w:tc>
        <w:tc>
          <w:tcPr>
            <w:tcW w:w="7144" w:type="dxa"/>
            <w:gridSpan w:val="2"/>
          </w:tcPr>
          <w:p w14:paraId="1AFA3C46" w14:textId="77777777" w:rsidR="009D65BE" w:rsidRPr="00C34DE2" w:rsidRDefault="009D65BE" w:rsidP="005272AF">
            <w:pPr>
              <w:pStyle w:val="TableBlock"/>
            </w:pPr>
            <w:r>
              <w:rPr>
                <w:rFonts w:hint="cs"/>
                <w:rtl/>
              </w:rPr>
              <w:t>בחוק זה –</w:t>
            </w:r>
          </w:p>
        </w:tc>
      </w:tr>
      <w:tr w:rsidR="009D65BE" w14:paraId="632D3DC1" w14:textId="77777777" w:rsidTr="00CE42B2">
        <w:trPr>
          <w:cantSplit/>
        </w:trPr>
        <w:tc>
          <w:tcPr>
            <w:tcW w:w="1870" w:type="dxa"/>
          </w:tcPr>
          <w:p w14:paraId="17F67A20" w14:textId="77777777" w:rsidR="009D65BE" w:rsidRDefault="009D65BE" w:rsidP="005272AF">
            <w:pPr>
              <w:pStyle w:val="TableSideHeading"/>
              <w:keepLines w:val="0"/>
              <w:rPr>
                <w:rtl/>
              </w:rPr>
            </w:pPr>
          </w:p>
        </w:tc>
        <w:tc>
          <w:tcPr>
            <w:tcW w:w="624" w:type="dxa"/>
          </w:tcPr>
          <w:p w14:paraId="65B7CD5A" w14:textId="77777777" w:rsidR="009D65BE" w:rsidRPr="00395098" w:rsidRDefault="009D65BE" w:rsidP="005272AF">
            <w:pPr>
              <w:pStyle w:val="TableText"/>
              <w:ind w:right="0"/>
              <w:jc w:val="both"/>
              <w:rPr>
                <w:rtl/>
              </w:rPr>
            </w:pPr>
          </w:p>
        </w:tc>
        <w:tc>
          <w:tcPr>
            <w:tcW w:w="7144" w:type="dxa"/>
            <w:gridSpan w:val="2"/>
          </w:tcPr>
          <w:p w14:paraId="574DEA95" w14:textId="77777777" w:rsidR="009D65BE" w:rsidRPr="00FE1873" w:rsidRDefault="009D65BE" w:rsidP="005272AF">
            <w:pPr>
              <w:pStyle w:val="TableBlockOutdent"/>
              <w:rPr>
                <w:rtl/>
              </w:rPr>
            </w:pPr>
            <w:r w:rsidRPr="00FE1873">
              <w:rPr>
                <w:rtl/>
              </w:rPr>
              <w:t>"</w:t>
            </w:r>
            <w:r>
              <w:rPr>
                <w:rFonts w:hint="cs"/>
                <w:rtl/>
              </w:rPr>
              <w:t>פרסום</w:t>
            </w:r>
            <w:r w:rsidRPr="00FE1873">
              <w:rPr>
                <w:rFonts w:hint="cs"/>
                <w:rtl/>
              </w:rPr>
              <w:t xml:space="preserve"> הסתה לטרור" – </w:t>
            </w:r>
            <w:r>
              <w:rPr>
                <w:rFonts w:hint="cs"/>
                <w:rtl/>
              </w:rPr>
              <w:t xml:space="preserve">פרסום הנחזה להיות </w:t>
            </w:r>
            <w:r w:rsidRPr="00FE1873">
              <w:rPr>
                <w:rFonts w:hint="cs"/>
                <w:rtl/>
              </w:rPr>
              <w:t>קריאה לעשיית מעשה טרור או עידוד לעשיית מעשה טרור</w:t>
            </w:r>
            <w:r>
              <w:rPr>
                <w:rFonts w:hint="cs"/>
                <w:rtl/>
              </w:rPr>
              <w:t xml:space="preserve"> ו</w:t>
            </w:r>
            <w:r w:rsidRPr="004E5D65">
              <w:rPr>
                <w:rtl/>
              </w:rPr>
              <w:t>על פי תוכנו של הפרסום המסית והנסיבות שבהן פורסם, י</w:t>
            </w:r>
            <w:r>
              <w:rPr>
                <w:rtl/>
              </w:rPr>
              <w:t xml:space="preserve">ש אפשרות ממשית שיביא לעשיית </w:t>
            </w:r>
            <w:r>
              <w:rPr>
                <w:rFonts w:hint="cs"/>
                <w:rtl/>
              </w:rPr>
              <w:t>מעשה טרור. לעניין זה אין נפקא מינה אם הפרסום הוביל למעשה טרור אם לאו;</w:t>
            </w:r>
          </w:p>
        </w:tc>
      </w:tr>
      <w:tr w:rsidR="009D65BE" w14:paraId="45200C10" w14:textId="77777777" w:rsidTr="00CE42B2">
        <w:trPr>
          <w:cantSplit/>
        </w:trPr>
        <w:tc>
          <w:tcPr>
            <w:tcW w:w="1870" w:type="dxa"/>
          </w:tcPr>
          <w:p w14:paraId="59A6F6F8" w14:textId="77777777" w:rsidR="009D65BE" w:rsidRDefault="009D65BE" w:rsidP="005272AF">
            <w:pPr>
              <w:pStyle w:val="TableSideHeading"/>
              <w:keepLines w:val="0"/>
              <w:rPr>
                <w:rtl/>
              </w:rPr>
            </w:pPr>
          </w:p>
        </w:tc>
        <w:tc>
          <w:tcPr>
            <w:tcW w:w="624" w:type="dxa"/>
          </w:tcPr>
          <w:p w14:paraId="755D6A79" w14:textId="77777777" w:rsidR="009D65BE" w:rsidRDefault="009D65BE" w:rsidP="005272AF">
            <w:pPr>
              <w:pStyle w:val="TableText"/>
              <w:rPr>
                <w:rtl/>
              </w:rPr>
            </w:pPr>
          </w:p>
        </w:tc>
        <w:tc>
          <w:tcPr>
            <w:tcW w:w="7144" w:type="dxa"/>
            <w:gridSpan w:val="2"/>
          </w:tcPr>
          <w:p w14:paraId="1BCA90C1" w14:textId="77777777" w:rsidR="009D65BE" w:rsidRDefault="009D65BE" w:rsidP="005272AF">
            <w:pPr>
              <w:pStyle w:val="TableBlock"/>
              <w:rPr>
                <w:rtl/>
              </w:rPr>
            </w:pPr>
            <w:r>
              <w:rPr>
                <w:rFonts w:hint="cs"/>
                <w:rtl/>
              </w:rPr>
              <w:t>"השר" – השר לביטחון הפנים;</w:t>
            </w:r>
          </w:p>
        </w:tc>
      </w:tr>
      <w:tr w:rsidR="009D65BE" w14:paraId="25EF3A11" w14:textId="77777777" w:rsidTr="00CE42B2">
        <w:trPr>
          <w:cantSplit/>
        </w:trPr>
        <w:tc>
          <w:tcPr>
            <w:tcW w:w="1870" w:type="dxa"/>
          </w:tcPr>
          <w:p w14:paraId="797B9461" w14:textId="77777777" w:rsidR="009D65BE" w:rsidRDefault="009D65BE" w:rsidP="005272AF">
            <w:pPr>
              <w:pStyle w:val="TableSideHeading"/>
              <w:keepLines w:val="0"/>
              <w:rPr>
                <w:rtl/>
              </w:rPr>
            </w:pPr>
          </w:p>
        </w:tc>
        <w:tc>
          <w:tcPr>
            <w:tcW w:w="624" w:type="dxa"/>
          </w:tcPr>
          <w:p w14:paraId="14F853E3" w14:textId="77777777" w:rsidR="009D65BE" w:rsidRDefault="009D65BE" w:rsidP="005272AF">
            <w:pPr>
              <w:pStyle w:val="TableText"/>
              <w:rPr>
                <w:rtl/>
              </w:rPr>
            </w:pPr>
          </w:p>
        </w:tc>
        <w:tc>
          <w:tcPr>
            <w:tcW w:w="7144" w:type="dxa"/>
            <w:gridSpan w:val="2"/>
          </w:tcPr>
          <w:p w14:paraId="15B6EEAE" w14:textId="77777777" w:rsidR="009D65BE" w:rsidRDefault="009D65BE" w:rsidP="005272AF">
            <w:pPr>
              <w:pStyle w:val="TableBlockOutdent"/>
              <w:rPr>
                <w:rtl/>
              </w:rPr>
            </w:pPr>
            <w:r>
              <w:rPr>
                <w:rtl/>
              </w:rPr>
              <w:t>"</w:t>
            </w:r>
            <w:r>
              <w:rPr>
                <w:rFonts w:hint="cs"/>
                <w:rtl/>
              </w:rPr>
              <w:t xml:space="preserve">מעשה טרור" – כהגדרתו בחוק </w:t>
            </w:r>
            <w:r w:rsidRPr="000600E5">
              <w:rPr>
                <w:rtl/>
              </w:rPr>
              <w:t>חוק המאבק בטרור, התשע"ו–2016</w:t>
            </w:r>
            <w:r>
              <w:rPr>
                <w:rStyle w:val="a5"/>
                <w:rtl/>
              </w:rPr>
              <w:footnoteReference w:id="2"/>
            </w:r>
            <w:r>
              <w:rPr>
                <w:rFonts w:hint="cs"/>
                <w:rtl/>
              </w:rPr>
              <w:t>;</w:t>
            </w:r>
          </w:p>
        </w:tc>
      </w:tr>
      <w:tr w:rsidR="009D65BE" w14:paraId="60123878" w14:textId="77777777" w:rsidTr="00CE42B2">
        <w:trPr>
          <w:cantSplit/>
        </w:trPr>
        <w:tc>
          <w:tcPr>
            <w:tcW w:w="1870" w:type="dxa"/>
          </w:tcPr>
          <w:p w14:paraId="65936222" w14:textId="77777777" w:rsidR="009D65BE" w:rsidRDefault="009D65BE" w:rsidP="005272AF">
            <w:pPr>
              <w:pStyle w:val="TableSideHeading"/>
              <w:keepLines w:val="0"/>
              <w:rPr>
                <w:rtl/>
              </w:rPr>
            </w:pPr>
          </w:p>
        </w:tc>
        <w:tc>
          <w:tcPr>
            <w:tcW w:w="624" w:type="dxa"/>
          </w:tcPr>
          <w:p w14:paraId="6228A8E3" w14:textId="77777777" w:rsidR="009D65BE" w:rsidRDefault="009D65BE" w:rsidP="005272AF">
            <w:pPr>
              <w:pStyle w:val="TableText"/>
              <w:rPr>
                <w:rtl/>
              </w:rPr>
            </w:pPr>
          </w:p>
        </w:tc>
        <w:tc>
          <w:tcPr>
            <w:tcW w:w="7144" w:type="dxa"/>
            <w:gridSpan w:val="2"/>
          </w:tcPr>
          <w:p w14:paraId="4CE3F3F1" w14:textId="77777777" w:rsidR="009D65BE" w:rsidRDefault="009D65BE" w:rsidP="005272AF">
            <w:pPr>
              <w:pStyle w:val="TableBlockOutdent"/>
              <w:rPr>
                <w:rtl/>
              </w:rPr>
            </w:pPr>
            <w:r w:rsidRPr="00684D5B">
              <w:rPr>
                <w:rFonts w:hint="cs"/>
                <w:rtl/>
              </w:rPr>
              <w:t>"</w:t>
            </w:r>
            <w:r w:rsidRPr="00C235C5">
              <w:rPr>
                <w:rtl/>
              </w:rPr>
              <w:t>ספק</w:t>
            </w:r>
            <w:r>
              <w:rPr>
                <w:rtl/>
              </w:rPr>
              <w:t xml:space="preserve"> רשת חברתית מקוונת" – מנהל אתר </w:t>
            </w:r>
            <w:r>
              <w:rPr>
                <w:rFonts w:hint="cs"/>
                <w:rtl/>
              </w:rPr>
              <w:t>ה</w:t>
            </w:r>
            <w:r w:rsidRPr="00C235C5">
              <w:rPr>
                <w:rtl/>
              </w:rPr>
              <w:t>אינטרנט בו מתבצעת פעילות משתמשי הרשת החברתית, לרבות אדם או חברה המופקדים על הקמת האתר האמור או תפעולו</w:t>
            </w:r>
            <w:r>
              <w:rPr>
                <w:rFonts w:hint="cs"/>
                <w:rtl/>
              </w:rPr>
              <w:t>;</w:t>
            </w:r>
          </w:p>
        </w:tc>
      </w:tr>
      <w:tr w:rsidR="009D65BE" w14:paraId="39310430" w14:textId="77777777" w:rsidTr="00CE42B2">
        <w:trPr>
          <w:cantSplit/>
        </w:trPr>
        <w:tc>
          <w:tcPr>
            <w:tcW w:w="1870" w:type="dxa"/>
          </w:tcPr>
          <w:p w14:paraId="360D3E38" w14:textId="77777777" w:rsidR="009D65BE" w:rsidRDefault="009D65BE" w:rsidP="005272AF">
            <w:pPr>
              <w:pStyle w:val="TableSideHeading"/>
              <w:keepLines w:val="0"/>
              <w:rPr>
                <w:rtl/>
              </w:rPr>
            </w:pPr>
          </w:p>
        </w:tc>
        <w:tc>
          <w:tcPr>
            <w:tcW w:w="624" w:type="dxa"/>
          </w:tcPr>
          <w:p w14:paraId="3518B007" w14:textId="77777777" w:rsidR="009D65BE" w:rsidRDefault="009D65BE" w:rsidP="005272AF">
            <w:pPr>
              <w:pStyle w:val="TableText"/>
              <w:rPr>
                <w:rtl/>
              </w:rPr>
            </w:pPr>
          </w:p>
        </w:tc>
        <w:tc>
          <w:tcPr>
            <w:tcW w:w="7144" w:type="dxa"/>
            <w:gridSpan w:val="2"/>
          </w:tcPr>
          <w:p w14:paraId="0F25D38A" w14:textId="77777777" w:rsidR="009D65BE" w:rsidRDefault="009D65BE" w:rsidP="005272AF">
            <w:pPr>
              <w:pStyle w:val="TableBlockOutdent"/>
              <w:rPr>
                <w:rtl/>
              </w:rPr>
            </w:pPr>
            <w:r>
              <w:rPr>
                <w:rtl/>
              </w:rPr>
              <w:t>"</w:t>
            </w:r>
            <w:r>
              <w:rPr>
                <w:rFonts w:hint="cs"/>
                <w:rtl/>
              </w:rPr>
              <w:t>פרסום" – כהגדרתו בחוק לשון הרע, תשכ"ה</w:t>
            </w:r>
            <w:r w:rsidRPr="00C235C5">
              <w:rPr>
                <w:rtl/>
              </w:rPr>
              <w:t>–</w:t>
            </w:r>
            <w:r>
              <w:rPr>
                <w:rFonts w:hint="cs"/>
                <w:rtl/>
              </w:rPr>
              <w:t>1965</w:t>
            </w:r>
            <w:r>
              <w:rPr>
                <w:rStyle w:val="a5"/>
                <w:rtl/>
              </w:rPr>
              <w:footnoteReference w:id="3"/>
            </w:r>
            <w:r>
              <w:rPr>
                <w:rFonts w:hint="cs"/>
                <w:rtl/>
              </w:rPr>
              <w:t>;</w:t>
            </w:r>
          </w:p>
        </w:tc>
      </w:tr>
      <w:tr w:rsidR="009D65BE" w14:paraId="0641775D" w14:textId="77777777" w:rsidTr="00CE42B2">
        <w:trPr>
          <w:cantSplit/>
        </w:trPr>
        <w:tc>
          <w:tcPr>
            <w:tcW w:w="1870" w:type="dxa"/>
          </w:tcPr>
          <w:p w14:paraId="287A81FA" w14:textId="77777777" w:rsidR="009D65BE" w:rsidRDefault="009D65BE" w:rsidP="005272AF">
            <w:pPr>
              <w:pStyle w:val="TableSideHeading"/>
              <w:keepLines w:val="0"/>
              <w:rPr>
                <w:rtl/>
              </w:rPr>
            </w:pPr>
          </w:p>
        </w:tc>
        <w:tc>
          <w:tcPr>
            <w:tcW w:w="624" w:type="dxa"/>
          </w:tcPr>
          <w:p w14:paraId="7ED913CE" w14:textId="77777777" w:rsidR="009D65BE" w:rsidRDefault="009D65BE" w:rsidP="005272AF">
            <w:pPr>
              <w:pStyle w:val="TableText"/>
              <w:rPr>
                <w:rtl/>
              </w:rPr>
            </w:pPr>
          </w:p>
        </w:tc>
        <w:tc>
          <w:tcPr>
            <w:tcW w:w="7144" w:type="dxa"/>
            <w:gridSpan w:val="2"/>
          </w:tcPr>
          <w:p w14:paraId="68D9CAAE" w14:textId="77777777" w:rsidR="009D65BE" w:rsidRPr="004A6073" w:rsidRDefault="009D65BE" w:rsidP="005272AF">
            <w:pPr>
              <w:pStyle w:val="TableBlockOutdent"/>
              <w:rPr>
                <w:rtl/>
              </w:rPr>
            </w:pPr>
            <w:r>
              <w:rPr>
                <w:rtl/>
              </w:rPr>
              <w:t>"</w:t>
            </w:r>
            <w:r w:rsidRPr="00E658B0">
              <w:rPr>
                <w:rFonts w:hint="cs"/>
                <w:rtl/>
              </w:rPr>
              <w:t>רשת חברתית מקוונת"</w:t>
            </w:r>
            <w:r>
              <w:rPr>
                <w:rFonts w:hint="cs"/>
                <w:rtl/>
              </w:rPr>
              <w:t xml:space="preserve"> –</w:t>
            </w:r>
            <w:r w:rsidRPr="00E658B0">
              <w:rPr>
                <w:rFonts w:hint="cs"/>
                <w:rtl/>
              </w:rPr>
              <w:t xml:space="preserve"> </w:t>
            </w:r>
            <w:r>
              <w:rPr>
                <w:rFonts w:hint="cs"/>
                <w:rtl/>
              </w:rPr>
              <w:t xml:space="preserve">(להלן – רשת חברתית) </w:t>
            </w:r>
            <w:r w:rsidRPr="00E658B0">
              <w:rPr>
                <w:rFonts w:hint="cs"/>
                <w:rtl/>
              </w:rPr>
              <w:t>שירות רשת המאפשר למשתמש</w:t>
            </w:r>
            <w:r>
              <w:rPr>
                <w:rFonts w:hint="cs"/>
                <w:rtl/>
              </w:rPr>
              <w:t xml:space="preserve"> בו את כל אלה:</w:t>
            </w:r>
          </w:p>
        </w:tc>
      </w:tr>
      <w:tr w:rsidR="00CE42B2" w14:paraId="72E2692A" w14:textId="77777777" w:rsidTr="00CE42B2">
        <w:trPr>
          <w:cantSplit/>
          <w:trHeight w:val="60"/>
        </w:trPr>
        <w:tc>
          <w:tcPr>
            <w:tcW w:w="1870" w:type="dxa"/>
          </w:tcPr>
          <w:p w14:paraId="57279AEC" w14:textId="77777777" w:rsidR="00CE42B2" w:rsidRDefault="00CE42B2">
            <w:pPr>
              <w:pStyle w:val="TableSideHeading"/>
            </w:pPr>
          </w:p>
        </w:tc>
        <w:tc>
          <w:tcPr>
            <w:tcW w:w="624" w:type="dxa"/>
          </w:tcPr>
          <w:p w14:paraId="256F3198" w14:textId="77777777" w:rsidR="00CE42B2" w:rsidRDefault="00CE42B2">
            <w:pPr>
              <w:pStyle w:val="TableText"/>
            </w:pPr>
          </w:p>
        </w:tc>
        <w:tc>
          <w:tcPr>
            <w:tcW w:w="624" w:type="dxa"/>
          </w:tcPr>
          <w:p w14:paraId="35CE503D" w14:textId="77777777" w:rsidR="00CE42B2" w:rsidRDefault="00CE42B2">
            <w:pPr>
              <w:pStyle w:val="TableText"/>
            </w:pPr>
          </w:p>
        </w:tc>
        <w:tc>
          <w:tcPr>
            <w:tcW w:w="6520" w:type="dxa"/>
          </w:tcPr>
          <w:p w14:paraId="46E8FA98" w14:textId="0677A06B" w:rsidR="00CE42B2" w:rsidRDefault="00CE42B2">
            <w:pPr>
              <w:pStyle w:val="TableBlock"/>
            </w:pPr>
            <w:r>
              <w:rPr>
                <w:rFonts w:hint="cs"/>
                <w:rtl/>
              </w:rPr>
              <w:t>(1)</w:t>
            </w:r>
            <w:r>
              <w:rPr>
                <w:rtl/>
              </w:rPr>
              <w:tab/>
            </w:r>
            <w:r w:rsidRPr="00A61E8B">
              <w:rPr>
                <w:rFonts w:hint="cs"/>
                <w:rtl/>
              </w:rPr>
              <w:t xml:space="preserve">יצירת </w:t>
            </w:r>
            <w:r>
              <w:rPr>
                <w:rFonts w:hint="cs"/>
                <w:rtl/>
              </w:rPr>
              <w:t>כינוי</w:t>
            </w:r>
            <w:r w:rsidRPr="00A61E8B">
              <w:rPr>
                <w:rFonts w:hint="cs"/>
                <w:rtl/>
              </w:rPr>
              <w:t xml:space="preserve"> משתמש </w:t>
            </w:r>
            <w:r>
              <w:rPr>
                <w:rFonts w:hint="cs"/>
                <w:rtl/>
              </w:rPr>
              <w:t>הגלוי לכלל משתמשי הרשת החברתית;</w:t>
            </w:r>
          </w:p>
        </w:tc>
      </w:tr>
      <w:tr w:rsidR="00CE42B2" w14:paraId="1BF46229" w14:textId="77777777" w:rsidTr="00CE42B2">
        <w:trPr>
          <w:cantSplit/>
          <w:trHeight w:val="60"/>
        </w:trPr>
        <w:tc>
          <w:tcPr>
            <w:tcW w:w="1870" w:type="dxa"/>
          </w:tcPr>
          <w:p w14:paraId="7725890B" w14:textId="77777777" w:rsidR="00CE42B2" w:rsidRDefault="00CE42B2">
            <w:pPr>
              <w:pStyle w:val="TableSideHeading"/>
              <w:rPr>
                <w:rtl/>
              </w:rPr>
            </w:pPr>
          </w:p>
        </w:tc>
        <w:tc>
          <w:tcPr>
            <w:tcW w:w="624" w:type="dxa"/>
          </w:tcPr>
          <w:p w14:paraId="76076DAB" w14:textId="77777777" w:rsidR="00CE42B2" w:rsidRDefault="00CE42B2" w:rsidP="00CE42B2">
            <w:pPr>
              <w:pStyle w:val="TableText"/>
            </w:pPr>
          </w:p>
        </w:tc>
        <w:tc>
          <w:tcPr>
            <w:tcW w:w="624" w:type="dxa"/>
          </w:tcPr>
          <w:p w14:paraId="160730EF" w14:textId="77777777" w:rsidR="00CE42B2" w:rsidRDefault="00CE42B2">
            <w:pPr>
              <w:pStyle w:val="TableText"/>
            </w:pPr>
          </w:p>
        </w:tc>
        <w:tc>
          <w:tcPr>
            <w:tcW w:w="6520" w:type="dxa"/>
          </w:tcPr>
          <w:p w14:paraId="2CED0563" w14:textId="1F039EEF" w:rsidR="00CE42B2" w:rsidRDefault="00CE42B2">
            <w:pPr>
              <w:pStyle w:val="TableBlock"/>
              <w:rPr>
                <w:rtl/>
              </w:rPr>
            </w:pPr>
            <w:r>
              <w:rPr>
                <w:rFonts w:hint="cs"/>
                <w:rtl/>
              </w:rPr>
              <w:t>(2)</w:t>
            </w:r>
            <w:r>
              <w:rPr>
                <w:rtl/>
              </w:rPr>
              <w:tab/>
            </w:r>
            <w:r>
              <w:rPr>
                <w:rFonts w:hint="cs"/>
                <w:rtl/>
              </w:rPr>
              <w:t>שיתוף תוכן עם משתמשים מתוך משתמשי הרשת החברתית</w:t>
            </w:r>
            <w:r w:rsidRPr="00E658B0">
              <w:rPr>
                <w:rFonts w:hint="cs"/>
                <w:rtl/>
              </w:rPr>
              <w:t>;</w:t>
            </w:r>
          </w:p>
        </w:tc>
      </w:tr>
      <w:tr w:rsidR="00CE42B2" w14:paraId="21909981" w14:textId="77777777" w:rsidTr="00CE42B2">
        <w:trPr>
          <w:cantSplit/>
          <w:trHeight w:val="60"/>
        </w:trPr>
        <w:tc>
          <w:tcPr>
            <w:tcW w:w="1870" w:type="dxa"/>
          </w:tcPr>
          <w:p w14:paraId="6E3FDEAF" w14:textId="77777777" w:rsidR="00CE42B2" w:rsidRDefault="00CE42B2">
            <w:pPr>
              <w:pStyle w:val="TableSideHeading"/>
              <w:rPr>
                <w:rtl/>
              </w:rPr>
            </w:pPr>
          </w:p>
        </w:tc>
        <w:tc>
          <w:tcPr>
            <w:tcW w:w="624" w:type="dxa"/>
          </w:tcPr>
          <w:p w14:paraId="234ED2E4" w14:textId="77777777" w:rsidR="00CE42B2" w:rsidRDefault="00CE42B2" w:rsidP="00CE42B2">
            <w:pPr>
              <w:pStyle w:val="TableText"/>
            </w:pPr>
          </w:p>
        </w:tc>
        <w:tc>
          <w:tcPr>
            <w:tcW w:w="624" w:type="dxa"/>
          </w:tcPr>
          <w:p w14:paraId="21FD3D49" w14:textId="77777777" w:rsidR="00CE42B2" w:rsidRDefault="00CE42B2">
            <w:pPr>
              <w:pStyle w:val="TableText"/>
            </w:pPr>
          </w:p>
        </w:tc>
        <w:tc>
          <w:tcPr>
            <w:tcW w:w="6520" w:type="dxa"/>
          </w:tcPr>
          <w:p w14:paraId="0B24E5CD" w14:textId="30444356" w:rsidR="00CE42B2" w:rsidRDefault="00CE42B2">
            <w:pPr>
              <w:pStyle w:val="TableBlock"/>
              <w:rPr>
                <w:rtl/>
              </w:rPr>
            </w:pPr>
            <w:r>
              <w:rPr>
                <w:rFonts w:hint="cs"/>
                <w:rtl/>
              </w:rPr>
              <w:t>(3)</w:t>
            </w:r>
            <w:r>
              <w:rPr>
                <w:rtl/>
              </w:rPr>
              <w:tab/>
            </w:r>
            <w:r>
              <w:rPr>
                <w:rFonts w:hint="cs"/>
                <w:rtl/>
              </w:rPr>
              <w:t>צפייה ברשימת כינויי המשתמשים שהוזנו על ידי כלל משתמשי הרשת החברתית וצפייה בתכנים או בחלק מהם ששותפו בין משתמשי הרשת החברתית.</w:t>
            </w:r>
          </w:p>
        </w:tc>
      </w:tr>
      <w:tr w:rsidR="009D65BE" w14:paraId="3FEC213F" w14:textId="77777777" w:rsidTr="00CE42B2">
        <w:trPr>
          <w:cantSplit/>
        </w:trPr>
        <w:tc>
          <w:tcPr>
            <w:tcW w:w="1870" w:type="dxa"/>
          </w:tcPr>
          <w:p w14:paraId="0EA5305C" w14:textId="77777777" w:rsidR="009D65BE" w:rsidRDefault="009D65BE" w:rsidP="005272AF">
            <w:pPr>
              <w:pStyle w:val="TableSideHeading"/>
            </w:pPr>
            <w:r>
              <w:rPr>
                <w:rFonts w:hint="cs"/>
                <w:rtl/>
              </w:rPr>
              <w:t>הסרת פרסום מסית</w:t>
            </w:r>
            <w:r w:rsidDel="00257202">
              <w:rPr>
                <w:rFonts w:hint="cs"/>
                <w:rtl/>
              </w:rPr>
              <w:t xml:space="preserve"> </w:t>
            </w:r>
          </w:p>
        </w:tc>
        <w:tc>
          <w:tcPr>
            <w:tcW w:w="624" w:type="dxa"/>
          </w:tcPr>
          <w:p w14:paraId="723CF6A3" w14:textId="77777777" w:rsidR="009D65BE" w:rsidRDefault="009D65BE" w:rsidP="005272AF">
            <w:pPr>
              <w:pStyle w:val="TableText"/>
            </w:pPr>
            <w:r>
              <w:rPr>
                <w:rFonts w:hint="cs"/>
                <w:rtl/>
              </w:rPr>
              <w:t>2.</w:t>
            </w:r>
          </w:p>
        </w:tc>
        <w:tc>
          <w:tcPr>
            <w:tcW w:w="7144" w:type="dxa"/>
            <w:gridSpan w:val="2"/>
          </w:tcPr>
          <w:p w14:paraId="27CEB46A" w14:textId="77777777" w:rsidR="009D65BE" w:rsidRPr="007E539F" w:rsidRDefault="009D65BE" w:rsidP="005272AF">
            <w:pPr>
              <w:pStyle w:val="TableBlock"/>
            </w:pPr>
            <w:r>
              <w:rPr>
                <w:rFonts w:hint="cs"/>
                <w:rtl/>
              </w:rPr>
              <w:t>(א)</w:t>
            </w:r>
            <w:r>
              <w:rPr>
                <w:rtl/>
              </w:rPr>
              <w:tab/>
            </w:r>
            <w:r>
              <w:rPr>
                <w:rFonts w:hint="cs"/>
                <w:rtl/>
              </w:rPr>
              <w:t xml:space="preserve">פורסמה ההסתה לטרור ברשת חברתית, יסיר </w:t>
            </w:r>
            <w:r w:rsidRPr="00684D5B">
              <w:rPr>
                <w:rFonts w:hint="cs"/>
                <w:rtl/>
              </w:rPr>
              <w:t xml:space="preserve">ספק </w:t>
            </w:r>
            <w:r>
              <w:rPr>
                <w:rFonts w:hint="cs"/>
                <w:rtl/>
              </w:rPr>
              <w:t>הרשת החברתית את הפרסום לא יאוחר מארבעים ושמונה שעות מעת הפרסום;</w:t>
            </w:r>
            <w:r w:rsidRPr="001D2DF8">
              <w:rPr>
                <w:rFonts w:hint="cs"/>
                <w:color w:val="FF0000"/>
                <w:sz w:val="26"/>
                <w:rtl/>
              </w:rPr>
              <w:t xml:space="preserve"> </w:t>
            </w:r>
            <w:r w:rsidRPr="00FA576E">
              <w:rPr>
                <w:rFonts w:hint="cs"/>
                <w:color w:val="auto"/>
                <w:sz w:val="26"/>
                <w:rtl/>
              </w:rPr>
              <w:t>לשם מ</w:t>
            </w:r>
            <w:r>
              <w:rPr>
                <w:rFonts w:hint="cs"/>
                <w:color w:val="auto"/>
                <w:sz w:val="26"/>
                <w:rtl/>
              </w:rPr>
              <w:t xml:space="preserve">ילוי הוראות סעיף זה ינקוט הספק </w:t>
            </w:r>
            <w:r w:rsidRPr="00FA576E">
              <w:rPr>
                <w:rFonts w:hint="cs"/>
                <w:color w:val="auto"/>
                <w:sz w:val="26"/>
                <w:rtl/>
              </w:rPr>
              <w:t>אמצעים סבירים לרבות ניטור המידע המתפרסם ברשת החברתית.</w:t>
            </w:r>
            <w:r>
              <w:rPr>
                <w:rtl/>
              </w:rPr>
              <w:t xml:space="preserve"> </w:t>
            </w:r>
          </w:p>
        </w:tc>
      </w:tr>
      <w:tr w:rsidR="009D65BE" w14:paraId="30489ECA" w14:textId="77777777" w:rsidTr="00CE42B2">
        <w:trPr>
          <w:cantSplit/>
        </w:trPr>
        <w:tc>
          <w:tcPr>
            <w:tcW w:w="1870" w:type="dxa"/>
          </w:tcPr>
          <w:p w14:paraId="60C44673" w14:textId="77777777" w:rsidR="009D65BE" w:rsidRDefault="009D65BE" w:rsidP="005272AF">
            <w:pPr>
              <w:pStyle w:val="TableSideHeading"/>
            </w:pPr>
          </w:p>
        </w:tc>
        <w:tc>
          <w:tcPr>
            <w:tcW w:w="624" w:type="dxa"/>
          </w:tcPr>
          <w:p w14:paraId="64CF9E70" w14:textId="77777777" w:rsidR="009D65BE" w:rsidRDefault="009D65BE" w:rsidP="005272AF">
            <w:pPr>
              <w:pStyle w:val="TableText"/>
              <w:rPr>
                <w:rtl/>
              </w:rPr>
            </w:pPr>
          </w:p>
        </w:tc>
        <w:tc>
          <w:tcPr>
            <w:tcW w:w="7144" w:type="dxa"/>
            <w:gridSpan w:val="2"/>
          </w:tcPr>
          <w:p w14:paraId="0BFE27C6" w14:textId="77777777" w:rsidR="009D65BE" w:rsidRPr="004A6073" w:rsidRDefault="009D65BE" w:rsidP="005272AF">
            <w:pPr>
              <w:pStyle w:val="TableBlock"/>
              <w:rPr>
                <w:rtl/>
              </w:rPr>
            </w:pPr>
            <w:r>
              <w:rPr>
                <w:rFonts w:hint="cs"/>
                <w:rtl/>
              </w:rPr>
              <w:t>(ב)</w:t>
            </w:r>
            <w:r>
              <w:rPr>
                <w:rtl/>
              </w:rPr>
              <w:tab/>
            </w:r>
            <w:r w:rsidRPr="00CC6D14">
              <w:rPr>
                <w:rFonts w:hint="cs"/>
                <w:sz w:val="26"/>
                <w:rtl/>
              </w:rPr>
              <w:t>לא פעל ספק הרשת החברתית כאמור בסעיף קטן (א)</w:t>
            </w:r>
            <w:r>
              <w:rPr>
                <w:rFonts w:hint="cs"/>
                <w:sz w:val="26"/>
                <w:rtl/>
              </w:rPr>
              <w:t>,</w:t>
            </w:r>
            <w:r w:rsidRPr="00CC6D14">
              <w:rPr>
                <w:rFonts w:hint="cs"/>
                <w:sz w:val="26"/>
                <w:rtl/>
              </w:rPr>
              <w:t xml:space="preserve"> דינו – קנס שלוש מאות אלף שקלים חדשים בגין כל פרסום</w:t>
            </w:r>
            <w:r>
              <w:rPr>
                <w:rFonts w:hint="cs"/>
                <w:sz w:val="26"/>
                <w:rtl/>
              </w:rPr>
              <w:t xml:space="preserve">; </w:t>
            </w:r>
            <w:r w:rsidRPr="006D6465">
              <w:rPr>
                <w:rtl/>
              </w:rPr>
              <w:t>לעניין סעיף זה תהא זו הגנה טובה לספק הרשת החברתית שהסיר את הפרסום ונקט אמצעים סבירים כדי לפעול כאמור</w:t>
            </w:r>
            <w:r>
              <w:rPr>
                <w:rFonts w:hint="cs"/>
                <w:sz w:val="26"/>
              </w:rPr>
              <w:t xml:space="preserve"> </w:t>
            </w:r>
            <w:r>
              <w:rPr>
                <w:rFonts w:hint="cs"/>
                <w:sz w:val="26"/>
                <w:rtl/>
              </w:rPr>
              <w:t>בסעיף קטן (א).</w:t>
            </w:r>
          </w:p>
        </w:tc>
      </w:tr>
      <w:tr w:rsidR="009D65BE" w14:paraId="0724D9D8" w14:textId="77777777" w:rsidTr="00CE42B2">
        <w:trPr>
          <w:cantSplit/>
        </w:trPr>
        <w:tc>
          <w:tcPr>
            <w:tcW w:w="1870" w:type="dxa"/>
          </w:tcPr>
          <w:p w14:paraId="6D006646" w14:textId="77777777" w:rsidR="009D65BE" w:rsidRDefault="009D65BE" w:rsidP="005272AF">
            <w:pPr>
              <w:pStyle w:val="TableSideHeading"/>
            </w:pPr>
          </w:p>
        </w:tc>
        <w:tc>
          <w:tcPr>
            <w:tcW w:w="624" w:type="dxa"/>
          </w:tcPr>
          <w:p w14:paraId="436082CA" w14:textId="77777777" w:rsidR="009D65BE" w:rsidRDefault="009D65BE" w:rsidP="005272AF">
            <w:pPr>
              <w:pStyle w:val="TableText"/>
              <w:rPr>
                <w:rtl/>
              </w:rPr>
            </w:pPr>
          </w:p>
        </w:tc>
        <w:tc>
          <w:tcPr>
            <w:tcW w:w="7144" w:type="dxa"/>
            <w:gridSpan w:val="2"/>
          </w:tcPr>
          <w:p w14:paraId="688666DB" w14:textId="77777777" w:rsidR="009D65BE" w:rsidRPr="004A6073" w:rsidRDefault="009D65BE" w:rsidP="005272AF">
            <w:pPr>
              <w:pStyle w:val="TableBlock"/>
              <w:rPr>
                <w:rtl/>
              </w:rPr>
            </w:pPr>
            <w:r>
              <w:rPr>
                <w:rFonts w:hint="cs"/>
                <w:rtl/>
              </w:rPr>
              <w:t>(ג)</w:t>
            </w:r>
            <w:r>
              <w:rPr>
                <w:rtl/>
              </w:rPr>
              <w:tab/>
            </w:r>
            <w:r>
              <w:rPr>
                <w:rFonts w:hint="cs"/>
                <w:sz w:val="26"/>
                <w:rtl/>
              </w:rPr>
              <w:t>י</w:t>
            </w:r>
            <w:r w:rsidRPr="00CC6D14">
              <w:rPr>
                <w:rFonts w:hint="cs"/>
                <w:sz w:val="26"/>
                <w:rtl/>
              </w:rPr>
              <w:t>דע ספק הרשת החברתית על פרסום</w:t>
            </w:r>
            <w:r>
              <w:rPr>
                <w:rFonts w:hint="cs"/>
                <w:sz w:val="26"/>
                <w:rtl/>
              </w:rPr>
              <w:t xml:space="preserve"> ההסתה</w:t>
            </w:r>
            <w:r w:rsidRPr="00CC6D14">
              <w:rPr>
                <w:rFonts w:hint="cs"/>
                <w:sz w:val="26"/>
                <w:rtl/>
              </w:rPr>
              <w:t xml:space="preserve"> ולא </w:t>
            </w:r>
            <w:r>
              <w:rPr>
                <w:rFonts w:hint="cs"/>
                <w:sz w:val="26"/>
                <w:rtl/>
              </w:rPr>
              <w:t>הסירה</w:t>
            </w:r>
            <w:r w:rsidRPr="00CC6D14">
              <w:rPr>
                <w:rFonts w:hint="cs"/>
                <w:sz w:val="26"/>
                <w:rtl/>
              </w:rPr>
              <w:t xml:space="preserve"> כאמור בסעיף קטן (א)</w:t>
            </w:r>
            <w:r>
              <w:rPr>
                <w:rFonts w:hint="cs"/>
                <w:sz w:val="26"/>
                <w:rtl/>
              </w:rPr>
              <w:t>,</w:t>
            </w:r>
            <w:r w:rsidRPr="00CC6D14">
              <w:rPr>
                <w:rFonts w:hint="cs"/>
                <w:sz w:val="26"/>
                <w:rtl/>
              </w:rPr>
              <w:t xml:space="preserve"> דינו – קנס ארבע מאות אלף שקלים חדשים בגין כל </w:t>
            </w:r>
            <w:r w:rsidRPr="00FA576E">
              <w:rPr>
                <w:rFonts w:hint="cs"/>
                <w:color w:val="auto"/>
                <w:sz w:val="26"/>
                <w:rtl/>
              </w:rPr>
              <w:t>פרסום; לעניין זה, חזקה כי פרסום שהתפרסם בעיתונ</w:t>
            </w:r>
            <w:r>
              <w:rPr>
                <w:rFonts w:hint="cs"/>
                <w:color w:val="auto"/>
                <w:sz w:val="26"/>
                <w:rtl/>
              </w:rPr>
              <w:t>ים היומיים או במהדורות האינטרנט</w:t>
            </w:r>
            <w:r w:rsidRPr="00FA576E">
              <w:rPr>
                <w:rFonts w:hint="cs"/>
                <w:color w:val="auto"/>
                <w:sz w:val="26"/>
                <w:rtl/>
              </w:rPr>
              <w:t xml:space="preserve"> של עיתונים אלה נודע לספק הרשת החברתית. </w:t>
            </w:r>
          </w:p>
        </w:tc>
      </w:tr>
      <w:tr w:rsidR="009D65BE" w14:paraId="61B3FBBF" w14:textId="77777777" w:rsidTr="00CE42B2">
        <w:trPr>
          <w:cantSplit/>
        </w:trPr>
        <w:tc>
          <w:tcPr>
            <w:tcW w:w="1870" w:type="dxa"/>
          </w:tcPr>
          <w:p w14:paraId="2BC5F7BB" w14:textId="77777777" w:rsidR="009D65BE" w:rsidRPr="00395098" w:rsidRDefault="009D65BE" w:rsidP="005272AF">
            <w:pPr>
              <w:pStyle w:val="TableSideHeading"/>
              <w:ind w:right="0"/>
            </w:pPr>
            <w:r w:rsidRPr="00395098">
              <w:rPr>
                <w:rFonts w:hint="cs"/>
                <w:rtl/>
              </w:rPr>
              <w:t>ביצוע וסדרי דין</w:t>
            </w:r>
          </w:p>
        </w:tc>
        <w:tc>
          <w:tcPr>
            <w:tcW w:w="624" w:type="dxa"/>
          </w:tcPr>
          <w:p w14:paraId="64BD869D" w14:textId="77777777" w:rsidR="009D65BE" w:rsidRDefault="009D65BE" w:rsidP="005272AF">
            <w:pPr>
              <w:pStyle w:val="TableText"/>
            </w:pPr>
            <w:r>
              <w:rPr>
                <w:rFonts w:hint="cs"/>
                <w:rtl/>
              </w:rPr>
              <w:t>3.</w:t>
            </w:r>
          </w:p>
        </w:tc>
        <w:tc>
          <w:tcPr>
            <w:tcW w:w="7144" w:type="dxa"/>
            <w:gridSpan w:val="2"/>
          </w:tcPr>
          <w:p w14:paraId="55E23264" w14:textId="77777777" w:rsidR="009D65BE" w:rsidRDefault="009D65BE" w:rsidP="005272AF">
            <w:pPr>
              <w:pStyle w:val="TableBlock"/>
            </w:pPr>
            <w:r>
              <w:rPr>
                <w:rFonts w:hint="cs"/>
                <w:rtl/>
              </w:rPr>
              <w:t>(א)</w:t>
            </w:r>
            <w:r>
              <w:rPr>
                <w:rtl/>
              </w:rPr>
              <w:tab/>
            </w:r>
            <w:r>
              <w:rPr>
                <w:rFonts w:hint="cs"/>
                <w:rtl/>
              </w:rPr>
              <w:t>פורסם דבר הסתה לטרור ברשת החברתית ולא הוסר כאמור בסעיף 2, רשאי השר או הממונה מטעמו להגיש בקשה להטלת קנס לבית המשפט המחוזי בירושלים.</w:t>
            </w:r>
          </w:p>
        </w:tc>
      </w:tr>
      <w:tr w:rsidR="009D65BE" w14:paraId="6C281C1B" w14:textId="77777777" w:rsidTr="00CE42B2">
        <w:trPr>
          <w:cantSplit/>
        </w:trPr>
        <w:tc>
          <w:tcPr>
            <w:tcW w:w="1870" w:type="dxa"/>
          </w:tcPr>
          <w:p w14:paraId="50CDAAEC" w14:textId="77777777" w:rsidR="009D65BE" w:rsidRDefault="009D65BE" w:rsidP="005272AF">
            <w:pPr>
              <w:pStyle w:val="TableSideHeading"/>
              <w:rPr>
                <w:rtl/>
              </w:rPr>
            </w:pPr>
          </w:p>
        </w:tc>
        <w:tc>
          <w:tcPr>
            <w:tcW w:w="624" w:type="dxa"/>
          </w:tcPr>
          <w:p w14:paraId="7D230615" w14:textId="77777777" w:rsidR="009D65BE" w:rsidRDefault="009D65BE" w:rsidP="005272AF">
            <w:pPr>
              <w:pStyle w:val="TableText"/>
              <w:rPr>
                <w:rtl/>
              </w:rPr>
            </w:pPr>
          </w:p>
        </w:tc>
        <w:tc>
          <w:tcPr>
            <w:tcW w:w="7144" w:type="dxa"/>
            <w:gridSpan w:val="2"/>
          </w:tcPr>
          <w:p w14:paraId="43AD587A" w14:textId="77777777" w:rsidR="009D65BE" w:rsidRDefault="009D65BE" w:rsidP="005272AF">
            <w:pPr>
              <w:pStyle w:val="TableBlock"/>
              <w:rPr>
                <w:rtl/>
              </w:rPr>
            </w:pPr>
            <w:r>
              <w:rPr>
                <w:rFonts w:hint="cs"/>
                <w:rtl/>
              </w:rPr>
              <w:t>(ב)</w:t>
            </w:r>
            <w:r>
              <w:rPr>
                <w:rtl/>
              </w:rPr>
              <w:tab/>
            </w:r>
            <w:r>
              <w:rPr>
                <w:rFonts w:hint="cs"/>
                <w:rtl/>
              </w:rPr>
              <w:t xml:space="preserve">הוגשה בקשה כאמור, יודיע בית המשפט לספק הרשת החברתית על הבקשה, ורשאי </w:t>
            </w:r>
            <w:r w:rsidRPr="00684D5B">
              <w:rPr>
                <w:rFonts w:hint="cs"/>
                <w:rtl/>
              </w:rPr>
              <w:t xml:space="preserve">ספק </w:t>
            </w:r>
            <w:r>
              <w:rPr>
                <w:rFonts w:hint="cs"/>
                <w:rtl/>
              </w:rPr>
              <w:t>הרשת החברתית להגיש התנגדות בכתב לא יאוחר משבעה ימים מיום קבלת ההודעה.</w:t>
            </w:r>
          </w:p>
        </w:tc>
      </w:tr>
      <w:tr w:rsidR="009D65BE" w14:paraId="6D8E08C3" w14:textId="77777777" w:rsidTr="00CE42B2">
        <w:trPr>
          <w:cantSplit/>
        </w:trPr>
        <w:tc>
          <w:tcPr>
            <w:tcW w:w="1870" w:type="dxa"/>
          </w:tcPr>
          <w:p w14:paraId="59CB2534" w14:textId="77777777" w:rsidR="009D65BE" w:rsidRDefault="009D65BE" w:rsidP="005272AF">
            <w:pPr>
              <w:pStyle w:val="TableSideHeading"/>
              <w:rPr>
                <w:rtl/>
              </w:rPr>
            </w:pPr>
          </w:p>
        </w:tc>
        <w:tc>
          <w:tcPr>
            <w:tcW w:w="624" w:type="dxa"/>
          </w:tcPr>
          <w:p w14:paraId="615F1D39" w14:textId="77777777" w:rsidR="009D65BE" w:rsidRDefault="009D65BE" w:rsidP="005272AF">
            <w:pPr>
              <w:pStyle w:val="TableText"/>
              <w:rPr>
                <w:rtl/>
              </w:rPr>
            </w:pPr>
          </w:p>
        </w:tc>
        <w:tc>
          <w:tcPr>
            <w:tcW w:w="7144" w:type="dxa"/>
            <w:gridSpan w:val="2"/>
          </w:tcPr>
          <w:p w14:paraId="18F0EBAD" w14:textId="77777777" w:rsidR="009D65BE" w:rsidRDefault="009D65BE" w:rsidP="005272AF">
            <w:pPr>
              <w:pStyle w:val="TableBlock"/>
              <w:rPr>
                <w:rtl/>
              </w:rPr>
            </w:pPr>
            <w:r>
              <w:rPr>
                <w:rFonts w:hint="cs"/>
                <w:rtl/>
              </w:rPr>
              <w:t>(ג)</w:t>
            </w:r>
            <w:r>
              <w:rPr>
                <w:rtl/>
              </w:rPr>
              <w:tab/>
            </w:r>
            <w:r>
              <w:rPr>
                <w:rFonts w:hint="cs"/>
                <w:rtl/>
              </w:rPr>
              <w:t>לא התקבלה תוך ארבעה עשר יום מיום ההודעה התנגדות בכתב, יטיל בית המשפט על ספק הרשת החברתית קנס כאמור בסעיף 2.</w:t>
            </w:r>
          </w:p>
        </w:tc>
      </w:tr>
      <w:tr w:rsidR="009D65BE" w14:paraId="520906D3" w14:textId="77777777" w:rsidTr="00CE42B2">
        <w:trPr>
          <w:cantSplit/>
        </w:trPr>
        <w:tc>
          <w:tcPr>
            <w:tcW w:w="1870" w:type="dxa"/>
          </w:tcPr>
          <w:p w14:paraId="7CF31487" w14:textId="77777777" w:rsidR="009D65BE" w:rsidRDefault="009D65BE" w:rsidP="005272AF">
            <w:pPr>
              <w:pStyle w:val="TableSideHeading"/>
              <w:rPr>
                <w:rtl/>
              </w:rPr>
            </w:pPr>
          </w:p>
        </w:tc>
        <w:tc>
          <w:tcPr>
            <w:tcW w:w="624" w:type="dxa"/>
          </w:tcPr>
          <w:p w14:paraId="14676A45" w14:textId="77777777" w:rsidR="009D65BE" w:rsidRDefault="009D65BE" w:rsidP="005272AF">
            <w:pPr>
              <w:pStyle w:val="TableText"/>
              <w:rPr>
                <w:rtl/>
              </w:rPr>
            </w:pPr>
          </w:p>
        </w:tc>
        <w:tc>
          <w:tcPr>
            <w:tcW w:w="7144" w:type="dxa"/>
            <w:gridSpan w:val="2"/>
          </w:tcPr>
          <w:p w14:paraId="5E6489D8" w14:textId="77777777" w:rsidR="009D65BE" w:rsidRDefault="009D65BE" w:rsidP="005272AF">
            <w:pPr>
              <w:pStyle w:val="TableBlock"/>
              <w:rPr>
                <w:rtl/>
              </w:rPr>
            </w:pPr>
            <w:r>
              <w:rPr>
                <w:rFonts w:hint="cs"/>
                <w:rtl/>
              </w:rPr>
              <w:t>(ד)</w:t>
            </w:r>
            <w:r>
              <w:rPr>
                <w:rtl/>
              </w:rPr>
              <w:tab/>
            </w:r>
            <w:r>
              <w:rPr>
                <w:rFonts w:hint="cs"/>
                <w:rtl/>
              </w:rPr>
              <w:t>התקבלה התנגדות כאמור, יקבע בית המשפט דיון במעמד הצדדים לא יאוחר משלושים יום מיום קבלת ההתנגדות ורשאי הוא לאשר את דבר הפרסום או ליתן צו להסירו או ליתן צו להסירו ולהטיל קנס עד סכום הקנס כאמור בסעיף 2.</w:t>
            </w:r>
          </w:p>
        </w:tc>
      </w:tr>
    </w:tbl>
    <w:p w14:paraId="3F57A0F2" w14:textId="77777777" w:rsidR="009D65BE" w:rsidRDefault="009D65BE" w:rsidP="009D65BE">
      <w:pPr>
        <w:pStyle w:val="HeadDivreiHesber"/>
        <w:rPr>
          <w:rtl/>
        </w:rPr>
      </w:pPr>
      <w:r w:rsidRPr="0027450A">
        <w:rPr>
          <w:rFonts w:hint="cs"/>
          <w:rtl/>
        </w:rPr>
        <w:t>דברי הסבר</w:t>
      </w:r>
    </w:p>
    <w:p w14:paraId="1FC64B05" w14:textId="77777777" w:rsidR="009D65BE" w:rsidRPr="00395098" w:rsidRDefault="009D65BE" w:rsidP="00252C18">
      <w:pPr>
        <w:pStyle w:val="Hesber"/>
        <w:spacing w:line="276" w:lineRule="auto"/>
        <w:rPr>
          <w:rtl/>
        </w:rPr>
      </w:pPr>
      <w:r w:rsidRPr="00395098">
        <w:rPr>
          <w:rFonts w:hint="cs"/>
          <w:rtl/>
        </w:rPr>
        <w:t xml:space="preserve">בחודשים האחרונים מתמודדת מדינת ישראל עם גל טרור של יחידים, </w:t>
      </w:r>
      <w:r>
        <w:rPr>
          <w:rFonts w:hint="cs"/>
          <w:rtl/>
        </w:rPr>
        <w:t>ו</w:t>
      </w:r>
      <w:r w:rsidRPr="00395098">
        <w:rPr>
          <w:rFonts w:hint="cs"/>
          <w:rtl/>
        </w:rPr>
        <w:t>לצד זאת, ניכרת התגברותה של ההסתה לטרור הפושה במרחב הווירטואלי בכלל וברשתות החברתיות בפרט. ל</w:t>
      </w:r>
      <w:r>
        <w:rPr>
          <w:rFonts w:hint="cs"/>
          <w:rtl/>
        </w:rPr>
        <w:t xml:space="preserve">פני </w:t>
      </w:r>
      <w:r w:rsidRPr="00395098">
        <w:rPr>
          <w:rFonts w:hint="cs"/>
          <w:rtl/>
        </w:rPr>
        <w:t>פיגועים, נתגלו לא אחת, קריאות מסיתות לרצוח יהודים, פרסומים המעודדים מעשי טרור ואף כאלו המניעים את היחידים לעשות כן. בין היתר ניתן היה למצוא תכתובות הקוראות בצורה ברורה לקוראים להפוך לשאהידים, "סרטוני הדרכה" בהם הוראות מדויקות, מפורטות ודוגמאות כיצד יש לבצע את מעשה הרצח. בין הסרטונים ניתן אף למצוא סרטוני בהם אימאמים במסגדים מסיתים בדרשותיהם לרצח וטרור וכן סרטונים בהם קיימות הנחיות ברורות כיצד לבחור את הסכין, להשחיזה ולהניפה וכאלו המדגימים היכן המקום המיטבי לדקור את הקורבן. הקוראים הצעירים מוסתים לצאת ולבצע פיגועי טרור וניכר כי הם נענים לקריאות המסיתות.</w:t>
      </w:r>
    </w:p>
    <w:p w14:paraId="1538AFE6" w14:textId="77777777" w:rsidR="009D65BE" w:rsidRPr="00395098" w:rsidRDefault="009D65BE" w:rsidP="00252C18">
      <w:pPr>
        <w:pStyle w:val="Hesber"/>
        <w:spacing w:line="276" w:lineRule="auto"/>
        <w:rPr>
          <w:rtl/>
        </w:rPr>
      </w:pPr>
      <w:r w:rsidRPr="00395098">
        <w:rPr>
          <w:rFonts w:hint="cs"/>
          <w:rtl/>
        </w:rPr>
        <w:t xml:space="preserve"> במציאות בה הרשת החברתית (פייסבוק, יוטיוב, טוויטר, גוגל וכד') משמשת כזירה משמעותית לשיח, ללא כל פיקוח, חובה עלינו לקבוע מלבד האחריות הפלילית של המפרסם, אשר לרוב אינו ידוע או אינו בנמצא, גם אחריות אזרחית מנהלית על מי שעובר עבירה של פרסום דבר הסתה ולהטיל את האחריות המתבקשת למי שמאפשר את פרסום הקריאה הברורה לעשיית מעשה טרור, שידור סרטונים מנחים לביצוע רצח וקריאה לציבור קוראיו למות כשאהידים.</w:t>
      </w:r>
    </w:p>
    <w:p w14:paraId="3AC0BD0F" w14:textId="77777777" w:rsidR="009D65BE" w:rsidRPr="00395098" w:rsidRDefault="009D65BE" w:rsidP="00252C18">
      <w:pPr>
        <w:pStyle w:val="Hesber"/>
        <w:spacing w:line="276" w:lineRule="auto"/>
        <w:rPr>
          <w:rtl/>
        </w:rPr>
      </w:pPr>
      <w:r w:rsidRPr="00395098">
        <w:rPr>
          <w:rFonts w:hint="cs"/>
          <w:rtl/>
        </w:rPr>
        <w:t>ראוי כי על בעלי הרשתות החברתיות, המספקות את התשתית לפרסום, תוטל האחריות למתרחש בגזרתם כפי שנעשה כאשר מדובר במדיה תקשורתית נוספת כעיתון או טלוויזיה. נוכח השוני, כי פרסום ברשתות החברתיות איננו דרוש אישור, הרי שהצעת חוק דנא, מבקשת להטיל את האחריות לניטור דברי הסתה לטרור ולהסרתם תוך 48 שעות. משלא עשה כן יחויב בעל הרשת החברתית בקנס בגובה של 300,000 שקלים חדשים. אמצעי הטכנולוגיה העומדים לרשותה של הרשת החברתית מאפשרים לה לנטר, לאתר ולהסיר רשומות הקוראות למעשי טרור. כך לדוגמה, נעשות פעולות על מנת למנוע הימצאות תכני פדופיליה ברשתות מתוקף המאבק של הרשתות החברתיות בתופעת הפדופיליה. משכך, ניכר כי מדובר בהחלטת מדיניות, הרואה חשיבות בנושא מסוים, ויישומה הוא בר ביצוע. נכון לעת הזו לא מצאו לנכון הרשתות החברתיות לנטר את המבוקש בהצעת חוק דנא אך בשל מדיניות. ככל שימצאו לנכון לעשות כן- יש בידן היכולת. צוות העובדים של הרשתות כולל עובדים הדוברים את כלל השפות כשפת אם ויתר על כן כאלו היודעים להבחין ולאבחן את ההקשר בו נכתב דבר ההסתה הגובה חיי אדם.</w:t>
      </w:r>
    </w:p>
    <w:p w14:paraId="0F21AC43" w14:textId="77777777" w:rsidR="009D65BE" w:rsidRPr="00395098" w:rsidRDefault="009D65BE" w:rsidP="00252C18">
      <w:pPr>
        <w:pStyle w:val="Hesber"/>
        <w:spacing w:line="276" w:lineRule="auto"/>
        <w:rPr>
          <w:rtl/>
        </w:rPr>
      </w:pPr>
      <w:r w:rsidRPr="00395098">
        <w:rPr>
          <w:rFonts w:hint="cs"/>
          <w:rtl/>
        </w:rPr>
        <w:t xml:space="preserve">נוכח ההסתה החמורה ברשתות, הקריאות הרבות לביצוע מעשי טרור, רצח ופגיעות בבני אדם על רקע מניע מדיני, אידיאולוגי או דתי וכן נוכח הימצאותם של "סרטוני הדרכה" לביצוע המעשה, קובעת הצעת החוק דנא, חובה על הרשתות החברתיות, לנטר את דברי ההסתה, למנוע את פרסומם להטיל עליהם קנס </w:t>
      </w:r>
      <w:r>
        <w:rPr>
          <w:rFonts w:hint="cs"/>
          <w:rtl/>
        </w:rPr>
        <w:t xml:space="preserve">אם </w:t>
      </w:r>
      <w:r w:rsidRPr="00395098">
        <w:rPr>
          <w:rFonts w:hint="cs"/>
          <w:rtl/>
        </w:rPr>
        <w:t xml:space="preserve">לא יעשו כן. </w:t>
      </w:r>
    </w:p>
    <w:p w14:paraId="029038C4" w14:textId="77777777" w:rsidR="00252C18" w:rsidRPr="00D73212" w:rsidRDefault="00252C18" w:rsidP="00252C18">
      <w:pPr>
        <w:pStyle w:val="Hesber"/>
        <w:spacing w:line="240" w:lineRule="auto"/>
        <w:rPr>
          <w:color w:val="auto"/>
          <w:rtl/>
          <w:lang w:eastAsia="en-US"/>
        </w:rPr>
      </w:pPr>
      <w:r w:rsidRPr="00D73212">
        <w:rPr>
          <w:color w:val="auto"/>
          <w:rtl/>
          <w:lang w:eastAsia="en-US"/>
        </w:rPr>
        <w:t>---------------------------------</w:t>
      </w:r>
    </w:p>
    <w:p w14:paraId="71DE7085" w14:textId="77777777" w:rsidR="00252C18" w:rsidRPr="00D73212" w:rsidRDefault="00252C18" w:rsidP="00252C18">
      <w:pPr>
        <w:pStyle w:val="Hesber"/>
        <w:spacing w:line="240" w:lineRule="auto"/>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D8F9CCB" w14:textId="77777777" w:rsidR="00252C18" w:rsidRPr="00D73212" w:rsidRDefault="00252C18" w:rsidP="00252C18">
      <w:pPr>
        <w:pStyle w:val="Hesber"/>
        <w:spacing w:line="240" w:lineRule="auto"/>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2CF8B020" w14:textId="3697EFDE" w:rsidR="001A7036" w:rsidRPr="00252C18" w:rsidRDefault="00252C18" w:rsidP="00252C18">
      <w:pPr>
        <w:pStyle w:val="Hesber"/>
        <w:spacing w:line="240" w:lineRule="auto"/>
        <w:rPr>
          <w:rtl/>
        </w:rPr>
      </w:pPr>
      <w:r>
        <w:rPr>
          <w:rFonts w:hint="cs"/>
          <w:color w:val="auto"/>
          <w:rtl/>
          <w:lang w:eastAsia="en-US"/>
        </w:rPr>
        <w:t>כ"א בסיוון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27.6</w:t>
      </w:r>
      <w:r w:rsidRPr="00D73212">
        <w:rPr>
          <w:color w:val="auto"/>
          <w:rtl/>
          <w:lang w:eastAsia="en-US"/>
        </w:rPr>
        <w:t>.1</w:t>
      </w:r>
      <w:r>
        <w:rPr>
          <w:rFonts w:hint="cs"/>
          <w:color w:val="auto"/>
          <w:rtl/>
          <w:lang w:eastAsia="en-US"/>
        </w:rPr>
        <w:t>6</w:t>
      </w:r>
    </w:p>
    <w:sectPr w:rsidR="001A7036" w:rsidRPr="00252C18" w:rsidSect="00252C18">
      <w:footerReference w:type="even" r:id="rId11"/>
      <w:footerReference w:type="default" r:id="rId12"/>
      <w:footerReference w:type="first" r:id="rId13"/>
      <w:pgSz w:w="11907" w:h="16840" w:code="9"/>
      <w:pgMar w:top="1134"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52C18">
      <w:rPr>
        <w:rStyle w:val="aa"/>
        <w:noProof/>
        <w:rtl/>
      </w:rPr>
      <w:t>2</w:t>
    </w:r>
    <w:r>
      <w:rPr>
        <w:rStyle w:val="aa"/>
        <w:rtl/>
      </w:rPr>
      <w:fldChar w:fldCharType="end"/>
    </w:r>
  </w:p>
  <w:p w14:paraId="7F6961D8" w14:textId="77777777" w:rsidR="002C3041" w:rsidRDefault="002C30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444C" w14:textId="77777777" w:rsidR="00300355" w:rsidRDefault="003003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19DA4894" w14:textId="77777777" w:rsidR="009D65BE" w:rsidRDefault="009D65BE" w:rsidP="009D65BE">
      <w:pPr>
        <w:pStyle w:val="a4"/>
        <w:rPr>
          <w:rtl/>
        </w:rPr>
      </w:pPr>
      <w:r>
        <w:rPr>
          <w:rStyle w:val="a5"/>
        </w:rPr>
        <w:footnoteRef/>
      </w:r>
      <w:r>
        <w:rPr>
          <w:rtl/>
        </w:rPr>
        <w:t xml:space="preserve"> </w:t>
      </w:r>
      <w:r>
        <w:rPr>
          <w:rFonts w:hint="cs"/>
          <w:rtl/>
        </w:rPr>
        <w:t xml:space="preserve">ס"ח התשע"ו, עמ' </w:t>
      </w:r>
      <w:r>
        <w:rPr>
          <w:rtl/>
        </w:rPr>
        <w:t>1067</w:t>
      </w:r>
      <w:r>
        <w:rPr>
          <w:rFonts w:hint="cs"/>
          <w:rtl/>
        </w:rPr>
        <w:t>.</w:t>
      </w:r>
    </w:p>
  </w:footnote>
  <w:footnote w:id="3">
    <w:p w14:paraId="661F1F1E" w14:textId="77777777" w:rsidR="009D65BE" w:rsidRDefault="009D65BE" w:rsidP="009D65BE">
      <w:pPr>
        <w:pStyle w:val="a4"/>
        <w:rPr>
          <w:rtl/>
        </w:rPr>
      </w:pPr>
      <w:r>
        <w:rPr>
          <w:rStyle w:val="a5"/>
        </w:rPr>
        <w:footnoteRef/>
      </w:r>
      <w:r>
        <w:rPr>
          <w:rtl/>
        </w:rPr>
        <w:t xml:space="preserve"> </w:t>
      </w:r>
      <w:r>
        <w:rPr>
          <w:rFonts w:hint="cs"/>
          <w:rtl/>
        </w:rPr>
        <w:t>ס"ח התשכ"ח, עמ' 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B20BA"/>
    <w:rsid w:val="000D5B27"/>
    <w:rsid w:val="00102B6B"/>
    <w:rsid w:val="00103E23"/>
    <w:rsid w:val="001052D4"/>
    <w:rsid w:val="0010644B"/>
    <w:rsid w:val="001207F8"/>
    <w:rsid w:val="00121924"/>
    <w:rsid w:val="001279A8"/>
    <w:rsid w:val="00133788"/>
    <w:rsid w:val="0014195F"/>
    <w:rsid w:val="00152609"/>
    <w:rsid w:val="00153E1B"/>
    <w:rsid w:val="0018023F"/>
    <w:rsid w:val="00186545"/>
    <w:rsid w:val="001A0623"/>
    <w:rsid w:val="001A7036"/>
    <w:rsid w:val="001C23B0"/>
    <w:rsid w:val="001D7AAF"/>
    <w:rsid w:val="00203A7F"/>
    <w:rsid w:val="00207449"/>
    <w:rsid w:val="0021633A"/>
    <w:rsid w:val="002200A1"/>
    <w:rsid w:val="002362BF"/>
    <w:rsid w:val="00241B97"/>
    <w:rsid w:val="002425D1"/>
    <w:rsid w:val="00246756"/>
    <w:rsid w:val="00250860"/>
    <w:rsid w:val="00251E58"/>
    <w:rsid w:val="00252C18"/>
    <w:rsid w:val="00254605"/>
    <w:rsid w:val="00266D86"/>
    <w:rsid w:val="002728B4"/>
    <w:rsid w:val="0027600C"/>
    <w:rsid w:val="00292712"/>
    <w:rsid w:val="002A0767"/>
    <w:rsid w:val="002A487D"/>
    <w:rsid w:val="002C2E29"/>
    <w:rsid w:val="002C3041"/>
    <w:rsid w:val="002D1EE3"/>
    <w:rsid w:val="002E2B7A"/>
    <w:rsid w:val="002F1D80"/>
    <w:rsid w:val="00300355"/>
    <w:rsid w:val="00304AE5"/>
    <w:rsid w:val="003232A2"/>
    <w:rsid w:val="00325C14"/>
    <w:rsid w:val="003260E2"/>
    <w:rsid w:val="00346B29"/>
    <w:rsid w:val="0036422C"/>
    <w:rsid w:val="003710F6"/>
    <w:rsid w:val="00386E88"/>
    <w:rsid w:val="0039148D"/>
    <w:rsid w:val="00396585"/>
    <w:rsid w:val="003D6E38"/>
    <w:rsid w:val="003D74A0"/>
    <w:rsid w:val="003E5821"/>
    <w:rsid w:val="004033D8"/>
    <w:rsid w:val="004073F0"/>
    <w:rsid w:val="00412A7D"/>
    <w:rsid w:val="00416B4D"/>
    <w:rsid w:val="004170A5"/>
    <w:rsid w:val="00417CFC"/>
    <w:rsid w:val="0049279C"/>
    <w:rsid w:val="004A06DC"/>
    <w:rsid w:val="004B24ED"/>
    <w:rsid w:val="004B6625"/>
    <w:rsid w:val="004D2D82"/>
    <w:rsid w:val="004D3876"/>
    <w:rsid w:val="004E4552"/>
    <w:rsid w:val="004E6CDF"/>
    <w:rsid w:val="004E76A7"/>
    <w:rsid w:val="00545843"/>
    <w:rsid w:val="0055175F"/>
    <w:rsid w:val="00553C9D"/>
    <w:rsid w:val="00562A66"/>
    <w:rsid w:val="005B064E"/>
    <w:rsid w:val="005D51AE"/>
    <w:rsid w:val="005D58DF"/>
    <w:rsid w:val="005F1AEE"/>
    <w:rsid w:val="005F6282"/>
    <w:rsid w:val="0062674B"/>
    <w:rsid w:val="006363B2"/>
    <w:rsid w:val="00644940"/>
    <w:rsid w:val="006818A9"/>
    <w:rsid w:val="00684D5B"/>
    <w:rsid w:val="006A2D81"/>
    <w:rsid w:val="006C1D0D"/>
    <w:rsid w:val="0070601E"/>
    <w:rsid w:val="00712C72"/>
    <w:rsid w:val="0071699F"/>
    <w:rsid w:val="00735FE9"/>
    <w:rsid w:val="007578D2"/>
    <w:rsid w:val="00763CAA"/>
    <w:rsid w:val="00765F66"/>
    <w:rsid w:val="00780515"/>
    <w:rsid w:val="0078664F"/>
    <w:rsid w:val="00793C4E"/>
    <w:rsid w:val="00796BA7"/>
    <w:rsid w:val="007C3FA6"/>
    <w:rsid w:val="007D585A"/>
    <w:rsid w:val="007D5A12"/>
    <w:rsid w:val="007E59F9"/>
    <w:rsid w:val="00810BCD"/>
    <w:rsid w:val="00812C98"/>
    <w:rsid w:val="00814D92"/>
    <w:rsid w:val="0083181D"/>
    <w:rsid w:val="00843EB2"/>
    <w:rsid w:val="00865572"/>
    <w:rsid w:val="00867FED"/>
    <w:rsid w:val="00874BBC"/>
    <w:rsid w:val="00892135"/>
    <w:rsid w:val="00895449"/>
    <w:rsid w:val="00897879"/>
    <w:rsid w:val="008A6870"/>
    <w:rsid w:val="008C2DDC"/>
    <w:rsid w:val="008C35CB"/>
    <w:rsid w:val="008C7516"/>
    <w:rsid w:val="008E6EC7"/>
    <w:rsid w:val="008F0D63"/>
    <w:rsid w:val="008F1308"/>
    <w:rsid w:val="008F2C35"/>
    <w:rsid w:val="008F6665"/>
    <w:rsid w:val="00902290"/>
    <w:rsid w:val="00904591"/>
    <w:rsid w:val="00905E5F"/>
    <w:rsid w:val="0091204F"/>
    <w:rsid w:val="009203DB"/>
    <w:rsid w:val="00923CD4"/>
    <w:rsid w:val="00930EFE"/>
    <w:rsid w:val="00943386"/>
    <w:rsid w:val="009456B6"/>
    <w:rsid w:val="00957589"/>
    <w:rsid w:val="00966D06"/>
    <w:rsid w:val="00982412"/>
    <w:rsid w:val="00983A8D"/>
    <w:rsid w:val="009A0DB8"/>
    <w:rsid w:val="009A441F"/>
    <w:rsid w:val="009A7257"/>
    <w:rsid w:val="009D65BE"/>
    <w:rsid w:val="009D6E0A"/>
    <w:rsid w:val="009E1E33"/>
    <w:rsid w:val="00A02D53"/>
    <w:rsid w:val="00A14672"/>
    <w:rsid w:val="00A26BD6"/>
    <w:rsid w:val="00A33585"/>
    <w:rsid w:val="00A443CF"/>
    <w:rsid w:val="00A6611D"/>
    <w:rsid w:val="00A7632B"/>
    <w:rsid w:val="00A82CB7"/>
    <w:rsid w:val="00A93E01"/>
    <w:rsid w:val="00A942C1"/>
    <w:rsid w:val="00AA2F03"/>
    <w:rsid w:val="00AC36F7"/>
    <w:rsid w:val="00AC63A4"/>
    <w:rsid w:val="00AD239E"/>
    <w:rsid w:val="00B10265"/>
    <w:rsid w:val="00B16A99"/>
    <w:rsid w:val="00B21211"/>
    <w:rsid w:val="00B24A32"/>
    <w:rsid w:val="00B35784"/>
    <w:rsid w:val="00B720DC"/>
    <w:rsid w:val="00B733A7"/>
    <w:rsid w:val="00B748CE"/>
    <w:rsid w:val="00B75C91"/>
    <w:rsid w:val="00B92BCE"/>
    <w:rsid w:val="00B941A2"/>
    <w:rsid w:val="00B975AD"/>
    <w:rsid w:val="00BA688C"/>
    <w:rsid w:val="00BA7C40"/>
    <w:rsid w:val="00BC45FB"/>
    <w:rsid w:val="00BF148D"/>
    <w:rsid w:val="00BF339F"/>
    <w:rsid w:val="00C02EC2"/>
    <w:rsid w:val="00C03FC6"/>
    <w:rsid w:val="00C23B1A"/>
    <w:rsid w:val="00C26AE2"/>
    <w:rsid w:val="00C310EB"/>
    <w:rsid w:val="00C458E1"/>
    <w:rsid w:val="00C62ADA"/>
    <w:rsid w:val="00C9176A"/>
    <w:rsid w:val="00CA1852"/>
    <w:rsid w:val="00CC18D1"/>
    <w:rsid w:val="00CD10D4"/>
    <w:rsid w:val="00CE42B2"/>
    <w:rsid w:val="00CE7DF3"/>
    <w:rsid w:val="00CF1AA2"/>
    <w:rsid w:val="00D17774"/>
    <w:rsid w:val="00D51391"/>
    <w:rsid w:val="00D63620"/>
    <w:rsid w:val="00D8410D"/>
    <w:rsid w:val="00D867D7"/>
    <w:rsid w:val="00DB7060"/>
    <w:rsid w:val="00DC4228"/>
    <w:rsid w:val="00DD26FF"/>
    <w:rsid w:val="00DE3153"/>
    <w:rsid w:val="00E036C5"/>
    <w:rsid w:val="00E06736"/>
    <w:rsid w:val="00E13C27"/>
    <w:rsid w:val="00E33BBD"/>
    <w:rsid w:val="00E33C75"/>
    <w:rsid w:val="00E374F2"/>
    <w:rsid w:val="00E424DD"/>
    <w:rsid w:val="00E45103"/>
    <w:rsid w:val="00E55A60"/>
    <w:rsid w:val="00E62778"/>
    <w:rsid w:val="00E63D38"/>
    <w:rsid w:val="00E658B0"/>
    <w:rsid w:val="00E665B9"/>
    <w:rsid w:val="00E96AF2"/>
    <w:rsid w:val="00EA01E6"/>
    <w:rsid w:val="00EA3DE8"/>
    <w:rsid w:val="00EA758F"/>
    <w:rsid w:val="00ED4A6F"/>
    <w:rsid w:val="00EE2950"/>
    <w:rsid w:val="00EF3A3A"/>
    <w:rsid w:val="00F36C71"/>
    <w:rsid w:val="00F40587"/>
    <w:rsid w:val="00F464C4"/>
    <w:rsid w:val="00F52E93"/>
    <w:rsid w:val="00F628D6"/>
    <w:rsid w:val="00F67051"/>
    <w:rsid w:val="00F86A1E"/>
    <w:rsid w:val="00F9144F"/>
    <w:rsid w:val="00FA5372"/>
    <w:rsid w:val="00FA5E88"/>
    <w:rsid w:val="00FE063F"/>
    <w:rsid w:val="00FF6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C842830C-0E45-454B-8C41-7F219D78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paragraph" w:styleId="ad">
    <w:name w:val="List Paragraph"/>
    <w:basedOn w:val="a"/>
    <w:uiPriority w:val="34"/>
    <w:qFormat/>
    <w:rsid w:val="00E658B0"/>
    <w:pPr>
      <w:widowControl/>
      <w:autoSpaceDE/>
      <w:autoSpaceDN/>
      <w:adjustRightInd/>
      <w:spacing w:before="0" w:line="240" w:lineRule="auto"/>
      <w:ind w:left="720" w:firstLine="0"/>
      <w:jc w:val="left"/>
      <w:textAlignment w:val="auto"/>
    </w:pPr>
    <w:rPr>
      <w:rFonts w:ascii="Calibri" w:eastAsiaTheme="minorHAnsi" w:hAnsi="Calibri" w:cs="Times New Roman"/>
      <w:color w:val="auto"/>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61495">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 w:id="20805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4FC5F725-2ED3-44A3-8B6C-9FB7B726B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1455E60-C08D-4814-8A50-7858C440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867</Words>
  <Characters>4340</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24</cp:revision>
  <cp:lastPrinted>2016-06-26T09:08:00Z</cp:lastPrinted>
  <dcterms:created xsi:type="dcterms:W3CDTF">2015-04-20T09:58:00Z</dcterms:created>
  <dcterms:modified xsi:type="dcterms:W3CDTF">2016-06-26T09:09:00Z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577014</vt:r8>
  </property>
</Properties>
</file>