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3D28C" w14:textId="77777777" w:rsidR="00F43909" w:rsidRPr="0000131B" w:rsidRDefault="00F43909" w:rsidP="00F43909">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578930</w:t>
      </w:r>
      <w:bookmarkEnd w:id="0"/>
    </w:p>
    <w:p w14:paraId="7B211CE6" w14:textId="77777777" w:rsidR="00F43909" w:rsidRPr="00DB7060" w:rsidRDefault="00F43909" w:rsidP="00F43909">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405E8DCE" w14:textId="77777777" w:rsidR="00F43909" w:rsidRPr="00F67051" w:rsidRDefault="00F43909" w:rsidP="00F43909">
      <w:pPr>
        <w:rPr>
          <w:rFonts w:cs="David"/>
          <w:b/>
          <w:bCs/>
          <w:sz w:val="26"/>
          <w:szCs w:val="26"/>
          <w:rtl/>
        </w:rPr>
      </w:pPr>
    </w:p>
    <w:p w14:paraId="0672E132" w14:textId="77777777" w:rsidR="00F43909" w:rsidRDefault="00F43909" w:rsidP="00F43909">
      <w:pPr>
        <w:pStyle w:val="David"/>
        <w:spacing w:line="360" w:lineRule="auto"/>
        <w:ind w:left="3544"/>
        <w:rPr>
          <w:b/>
          <w:bCs/>
          <w:rtl/>
        </w:rPr>
      </w:pPr>
      <w:bookmarkStart w:id="2" w:name="LGS_Initiators_List"/>
      <w:r>
        <w:rPr>
          <w:b/>
          <w:bCs/>
          <w:rtl/>
        </w:rPr>
        <w:t>יוזמים:      חברי הכנסת</w:t>
      </w:r>
      <w:bookmarkEnd w:id="2"/>
      <w:r w:rsidRPr="00F67051">
        <w:rPr>
          <w:b/>
          <w:bCs/>
        </w:rPr>
        <w:tab/>
      </w:r>
      <w:bookmarkStart w:id="3" w:name="LGS_PM_Names"/>
      <w:r>
        <w:rPr>
          <w:rFonts w:hint="cs"/>
          <w:b/>
          <w:bCs/>
          <w:rtl/>
        </w:rPr>
        <w:t>דוד ביטן</w:t>
      </w:r>
      <w:r>
        <w:br/>
      </w:r>
      <w:r>
        <w:rPr>
          <w:rFonts w:hint="cs"/>
          <w:b/>
          <w:bCs/>
          <w:rtl/>
        </w:rPr>
        <w:t xml:space="preserve"> </w:t>
      </w:r>
      <w:r>
        <w:tab/>
      </w:r>
      <w:r>
        <w:tab/>
      </w:r>
      <w:r>
        <w:tab/>
      </w:r>
      <w:r>
        <w:tab/>
      </w:r>
      <w:r>
        <w:rPr>
          <w:rFonts w:hint="cs"/>
          <w:b/>
          <w:bCs/>
          <w:rtl/>
        </w:rPr>
        <w:t>שולי מועלם-רפאלי</w:t>
      </w:r>
      <w:r>
        <w:br/>
      </w:r>
      <w:r>
        <w:rPr>
          <w:rFonts w:hint="cs"/>
          <w:b/>
          <w:bCs/>
          <w:rtl/>
        </w:rPr>
        <w:t xml:space="preserve"> </w:t>
      </w:r>
      <w:r>
        <w:tab/>
      </w:r>
      <w:r>
        <w:tab/>
      </w:r>
      <w:r>
        <w:tab/>
      </w:r>
      <w:r>
        <w:tab/>
      </w:r>
      <w:r>
        <w:rPr>
          <w:rFonts w:hint="cs"/>
          <w:b/>
          <w:bCs/>
          <w:rtl/>
        </w:rPr>
        <w:t>מרב מיכאלי</w:t>
      </w:r>
      <w:r>
        <w:br/>
      </w:r>
      <w:r>
        <w:rPr>
          <w:rFonts w:hint="cs"/>
          <w:b/>
          <w:bCs/>
          <w:rtl/>
        </w:rPr>
        <w:t xml:space="preserve"> </w:t>
      </w:r>
      <w:r>
        <w:tab/>
      </w:r>
      <w:r>
        <w:tab/>
      </w:r>
      <w:r>
        <w:tab/>
      </w:r>
      <w:r>
        <w:tab/>
      </w:r>
      <w:r>
        <w:rPr>
          <w:rFonts w:hint="cs"/>
          <w:b/>
          <w:bCs/>
          <w:rtl/>
        </w:rPr>
        <w:t>רועי פולקמן</w:t>
      </w:r>
      <w:r>
        <w:br/>
      </w:r>
      <w:r>
        <w:rPr>
          <w:rFonts w:hint="cs"/>
          <w:b/>
          <w:bCs/>
          <w:rtl/>
        </w:rPr>
        <w:t xml:space="preserve"> </w:t>
      </w:r>
      <w:r>
        <w:tab/>
      </w:r>
      <w:r>
        <w:tab/>
      </w:r>
      <w:r>
        <w:tab/>
      </w:r>
      <w:r>
        <w:tab/>
      </w:r>
      <w:r>
        <w:rPr>
          <w:rFonts w:hint="cs"/>
          <w:b/>
          <w:bCs/>
          <w:rtl/>
        </w:rPr>
        <w:t>אורי מקלב</w:t>
      </w:r>
      <w:bookmarkEnd w:id="3"/>
    </w:p>
    <w:p w14:paraId="0035E7FA" w14:textId="77777777" w:rsidR="00F43909" w:rsidRPr="00CF1AA2" w:rsidRDefault="00F43909" w:rsidP="00F43909">
      <w:pPr>
        <w:pStyle w:val="David"/>
        <w:spacing w:before="0" w:line="360" w:lineRule="auto"/>
        <w:ind w:left="3544"/>
        <w:rPr>
          <w:b/>
          <w:bCs/>
          <w:sz w:val="16"/>
          <w:szCs w:val="16"/>
          <w:rtl/>
        </w:rPr>
      </w:pPr>
      <w:bookmarkStart w:id="4" w:name="LGS_Join_List"/>
      <w:r>
        <w:rPr>
          <w:rtl/>
        </w:rPr>
        <w:t xml:space="preserve"> </w:t>
      </w:r>
      <w:bookmarkEnd w:id="4"/>
      <w:r w:rsidRPr="00CF1AA2">
        <w:rPr>
          <w:rFonts w:hint="cs"/>
          <w:rtl/>
        </w:rPr>
        <w:tab/>
      </w:r>
      <w:bookmarkStart w:id="5" w:name="LGS_PM_NamesJoin"/>
      <w:r>
        <w:rPr>
          <w:rFonts w:hint="cs"/>
          <w:rtl/>
        </w:rPr>
        <w:t xml:space="preserve"> </w:t>
      </w:r>
      <w:bookmarkEnd w:id="5"/>
    </w:p>
    <w:p w14:paraId="2F1106C3" w14:textId="77777777" w:rsidR="00F43909" w:rsidRPr="00904591" w:rsidRDefault="00F43909" w:rsidP="00F43909">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3B3D2F5F" w14:textId="77777777" w:rsidR="00F43909" w:rsidRPr="00E06736" w:rsidRDefault="00F43909" w:rsidP="00F43909">
      <w:pPr>
        <w:pStyle w:val="David"/>
        <w:spacing w:before="0" w:line="240" w:lineRule="auto"/>
        <w:ind w:left="3544"/>
        <w:rPr>
          <w:rtl/>
        </w:rPr>
      </w:pPr>
      <w:r>
        <w:t xml:space="preserve">                                             </w:t>
      </w:r>
      <w:bookmarkStart w:id="6" w:name="Private_Number"/>
      <w:r>
        <w:rPr>
          <w:rFonts w:hint="cs"/>
          <w:rtl/>
        </w:rPr>
        <w:t>פ/3073/20</w:t>
      </w:r>
      <w:bookmarkEnd w:id="6"/>
    </w:p>
    <w:p w14:paraId="354F3125" w14:textId="77777777" w:rsidR="00F43909" w:rsidRDefault="00F43909" w:rsidP="00F43909">
      <w:pPr>
        <w:spacing w:before="0" w:line="360" w:lineRule="auto"/>
        <w:ind w:left="2880" w:firstLine="720"/>
        <w:rPr>
          <w:rFonts w:cs="David"/>
          <w:sz w:val="26"/>
          <w:szCs w:val="26"/>
          <w:rtl/>
        </w:rPr>
      </w:pPr>
    </w:p>
    <w:p w14:paraId="3A1D25EB" w14:textId="77777777" w:rsidR="00F43909" w:rsidRPr="00F67051" w:rsidRDefault="00F43909" w:rsidP="00F43909">
      <w:pPr>
        <w:pStyle w:val="HeadHatzaotHok"/>
        <w:rPr>
          <w:rtl/>
        </w:rPr>
      </w:pPr>
      <w:bookmarkStart w:id="7" w:name="LGS_Subject"/>
      <w:r>
        <w:rPr>
          <w:rFonts w:hint="cs"/>
          <w:rtl/>
        </w:rPr>
        <w:t>הצעת חוק ממשל זמין, התשע"ו–2016</w:t>
      </w:r>
      <w:bookmarkEnd w:id="7"/>
    </w:p>
    <w:p w14:paraId="0B447B2C" w14:textId="77777777" w:rsidR="00F43909" w:rsidRDefault="00F43909" w:rsidP="00F43909">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F43909" w14:paraId="6657423F" w14:textId="77777777" w:rsidTr="00401D4F">
        <w:trPr>
          <w:cantSplit/>
          <w:trHeight w:val="60"/>
        </w:trPr>
        <w:tc>
          <w:tcPr>
            <w:tcW w:w="1871" w:type="dxa"/>
          </w:tcPr>
          <w:p w14:paraId="5D35EF72" w14:textId="77777777" w:rsidR="00F43909" w:rsidRDefault="00F43909" w:rsidP="00401D4F">
            <w:pPr>
              <w:pStyle w:val="TableSideHeading"/>
              <w:keepLines w:val="0"/>
            </w:pPr>
            <w:r>
              <w:rPr>
                <w:rFonts w:hint="cs"/>
                <w:rtl/>
              </w:rPr>
              <w:t>מטרה</w:t>
            </w:r>
          </w:p>
        </w:tc>
        <w:tc>
          <w:tcPr>
            <w:tcW w:w="624" w:type="dxa"/>
          </w:tcPr>
          <w:p w14:paraId="792FC58C" w14:textId="77777777" w:rsidR="00F43909" w:rsidRDefault="00F43909" w:rsidP="00401D4F">
            <w:pPr>
              <w:pStyle w:val="TableText"/>
              <w:keepLines w:val="0"/>
              <w:numPr>
                <w:ilvl w:val="0"/>
                <w:numId w:val="12"/>
              </w:numPr>
            </w:pPr>
          </w:p>
        </w:tc>
        <w:tc>
          <w:tcPr>
            <w:tcW w:w="7146" w:type="dxa"/>
          </w:tcPr>
          <w:p w14:paraId="38BA8398" w14:textId="77777777" w:rsidR="00F43909" w:rsidRPr="00C34DE2" w:rsidRDefault="00F43909" w:rsidP="00401D4F">
            <w:pPr>
              <w:pStyle w:val="TableBlock"/>
              <w:keepLines w:val="0"/>
            </w:pPr>
            <w:r>
              <w:rPr>
                <w:rFonts w:hint="cs"/>
                <w:rtl/>
              </w:rPr>
              <w:t xml:space="preserve">חוק זה נועד </w:t>
            </w:r>
            <w:r w:rsidRPr="00040225">
              <w:rPr>
                <w:rFonts w:hint="cs"/>
                <w:rtl/>
              </w:rPr>
              <w:t>להבטיח</w:t>
            </w:r>
            <w:r w:rsidRPr="00F13D90">
              <w:rPr>
                <w:rFonts w:hint="cs"/>
                <w:rtl/>
              </w:rPr>
              <w:t xml:space="preserve"> את זמינות ונגישות עובדי הציבור במשרדי הממשלה ובגופים ציבוריים לכלל הציבור.</w:t>
            </w:r>
          </w:p>
        </w:tc>
      </w:tr>
      <w:tr w:rsidR="00F43909" w14:paraId="3BE98621" w14:textId="77777777" w:rsidTr="00401D4F">
        <w:trPr>
          <w:cantSplit/>
          <w:trHeight w:val="60"/>
        </w:trPr>
        <w:tc>
          <w:tcPr>
            <w:tcW w:w="1871" w:type="dxa"/>
          </w:tcPr>
          <w:p w14:paraId="3C955789" w14:textId="77777777" w:rsidR="00F43909" w:rsidDel="002470AF" w:rsidRDefault="00F43909" w:rsidP="00401D4F">
            <w:pPr>
              <w:pStyle w:val="TableSideHeading"/>
              <w:keepLines w:val="0"/>
              <w:rPr>
                <w:rtl/>
              </w:rPr>
            </w:pPr>
            <w:r>
              <w:rPr>
                <w:rFonts w:hint="cs"/>
                <w:rtl/>
              </w:rPr>
              <w:t>חובת נותן שירות ציבורי לפרסם פרטי יצירת קשר</w:t>
            </w:r>
          </w:p>
        </w:tc>
        <w:tc>
          <w:tcPr>
            <w:tcW w:w="624" w:type="dxa"/>
          </w:tcPr>
          <w:p w14:paraId="484BE4C8" w14:textId="77777777" w:rsidR="00F43909" w:rsidRDefault="00F43909" w:rsidP="00401D4F">
            <w:pPr>
              <w:pStyle w:val="TableText"/>
            </w:pPr>
            <w:r>
              <w:rPr>
                <w:rFonts w:hint="cs"/>
                <w:rtl/>
              </w:rPr>
              <w:t>2.</w:t>
            </w:r>
          </w:p>
        </w:tc>
        <w:tc>
          <w:tcPr>
            <w:tcW w:w="7146" w:type="dxa"/>
          </w:tcPr>
          <w:p w14:paraId="2294A779" w14:textId="77777777" w:rsidR="00F43909" w:rsidRDefault="00F43909" w:rsidP="00401D4F">
            <w:pPr>
              <w:pStyle w:val="TableHead"/>
              <w:keepLines w:val="0"/>
              <w:jc w:val="left"/>
              <w:rPr>
                <w:rtl/>
              </w:rPr>
            </w:pPr>
            <w:r w:rsidRPr="00F13D90">
              <w:rPr>
                <w:rFonts w:hint="cs"/>
                <w:b w:val="0"/>
                <w:bCs w:val="0"/>
                <w:rtl/>
              </w:rPr>
              <w:t>נותן שירות ציבורי המנוי בתוספת</w:t>
            </w:r>
            <w:r>
              <w:rPr>
                <w:rFonts w:hint="cs"/>
                <w:b w:val="0"/>
                <w:bCs w:val="0"/>
                <w:rtl/>
              </w:rPr>
              <w:t>,</w:t>
            </w:r>
            <w:r w:rsidRPr="00F13D90">
              <w:rPr>
                <w:rFonts w:hint="cs"/>
                <w:b w:val="0"/>
                <w:bCs w:val="0"/>
                <w:rtl/>
              </w:rPr>
              <w:t xml:space="preserve"> יפרסם באתר האינטרנט שלו</w:t>
            </w:r>
            <w:r>
              <w:rPr>
                <w:rFonts w:hint="cs"/>
                <w:b w:val="0"/>
                <w:bCs w:val="0"/>
                <w:rtl/>
              </w:rPr>
              <w:t xml:space="preserve"> את אלה:</w:t>
            </w:r>
            <w:r w:rsidRPr="00F13D90">
              <w:rPr>
                <w:rFonts w:hint="cs"/>
                <w:b w:val="0"/>
                <w:bCs w:val="0"/>
                <w:rtl/>
              </w:rPr>
              <w:t xml:space="preserve"> </w:t>
            </w:r>
          </w:p>
        </w:tc>
      </w:tr>
      <w:tr w:rsidR="00B46DD2" w14:paraId="47A73CBB" w14:textId="77777777" w:rsidTr="00F87724">
        <w:trPr>
          <w:cantSplit/>
          <w:trHeight w:val="60"/>
        </w:trPr>
        <w:tc>
          <w:tcPr>
            <w:tcW w:w="1871" w:type="dxa"/>
          </w:tcPr>
          <w:p w14:paraId="08CB6A2C" w14:textId="77777777" w:rsidR="00B46DD2" w:rsidRDefault="00B46DD2" w:rsidP="00401D4F">
            <w:pPr>
              <w:pStyle w:val="TableSideHeading"/>
            </w:pPr>
          </w:p>
        </w:tc>
        <w:tc>
          <w:tcPr>
            <w:tcW w:w="624" w:type="dxa"/>
          </w:tcPr>
          <w:p w14:paraId="7EB4C6B7" w14:textId="77777777" w:rsidR="00B46DD2" w:rsidRDefault="00B46DD2" w:rsidP="00401D4F">
            <w:pPr>
              <w:pStyle w:val="TableText"/>
            </w:pPr>
          </w:p>
        </w:tc>
        <w:tc>
          <w:tcPr>
            <w:tcW w:w="7146" w:type="dxa"/>
          </w:tcPr>
          <w:p w14:paraId="21C2C25D" w14:textId="0B5446A7" w:rsidR="00B46DD2" w:rsidRDefault="00B46DD2" w:rsidP="00401D4F">
            <w:pPr>
              <w:pStyle w:val="TableBlock"/>
            </w:pPr>
            <w:r>
              <w:rPr>
                <w:rFonts w:hint="cs"/>
                <w:rtl/>
              </w:rPr>
              <w:t>(1)</w:t>
            </w:r>
            <w:r>
              <w:rPr>
                <w:rtl/>
              </w:rPr>
              <w:tab/>
            </w:r>
            <w:r w:rsidRPr="00F60612">
              <w:rPr>
                <w:rtl/>
              </w:rPr>
              <w:t>כתובת דואר אלקטרוני של עובדי הגוף שבאמצעותה ניתן לפנות לגוף ולעובדיו, להגיש להם פניות או להעביר להם מסמכים;</w:t>
            </w:r>
          </w:p>
        </w:tc>
      </w:tr>
      <w:tr w:rsidR="00B46DD2" w14:paraId="09256EA2" w14:textId="77777777" w:rsidTr="004E1624">
        <w:trPr>
          <w:cantSplit/>
          <w:trHeight w:val="60"/>
        </w:trPr>
        <w:tc>
          <w:tcPr>
            <w:tcW w:w="1871" w:type="dxa"/>
          </w:tcPr>
          <w:p w14:paraId="75D1AEB1" w14:textId="77777777" w:rsidR="00B46DD2" w:rsidRDefault="00B46DD2" w:rsidP="00401D4F">
            <w:pPr>
              <w:pStyle w:val="TableSideHeading"/>
            </w:pPr>
          </w:p>
        </w:tc>
        <w:tc>
          <w:tcPr>
            <w:tcW w:w="624" w:type="dxa"/>
          </w:tcPr>
          <w:p w14:paraId="0827B790" w14:textId="77777777" w:rsidR="00B46DD2" w:rsidRDefault="00B46DD2" w:rsidP="00401D4F">
            <w:pPr>
              <w:pStyle w:val="TableText"/>
            </w:pPr>
          </w:p>
        </w:tc>
        <w:tc>
          <w:tcPr>
            <w:tcW w:w="7146" w:type="dxa"/>
          </w:tcPr>
          <w:p w14:paraId="4E4D5E3F" w14:textId="0737FCD2" w:rsidR="00B46DD2" w:rsidRDefault="00B46DD2" w:rsidP="00401D4F">
            <w:pPr>
              <w:pStyle w:val="TableBlock"/>
              <w:rPr>
                <w:rtl/>
              </w:rPr>
            </w:pPr>
            <w:r>
              <w:rPr>
                <w:rFonts w:hint="cs"/>
                <w:rtl/>
              </w:rPr>
              <w:t>(2)</w:t>
            </w:r>
            <w:r>
              <w:rPr>
                <w:rtl/>
              </w:rPr>
              <w:tab/>
            </w:r>
            <w:r w:rsidRPr="00F60612">
              <w:rPr>
                <w:rtl/>
              </w:rPr>
              <w:t>מספר טלפון המוביל למענה אנושי של העובד או מי מטעמו.</w:t>
            </w:r>
          </w:p>
        </w:tc>
      </w:tr>
      <w:tr w:rsidR="00F43909" w14:paraId="52EB7E16" w14:textId="77777777" w:rsidTr="00401D4F">
        <w:trPr>
          <w:cantSplit/>
          <w:trHeight w:val="60"/>
        </w:trPr>
        <w:tc>
          <w:tcPr>
            <w:tcW w:w="1871" w:type="dxa"/>
          </w:tcPr>
          <w:p w14:paraId="7C11E4DC" w14:textId="77777777" w:rsidR="00F43909" w:rsidRDefault="00F43909" w:rsidP="00401D4F">
            <w:pPr>
              <w:pStyle w:val="TableSideHeading"/>
              <w:keepLines w:val="0"/>
              <w:rPr>
                <w:rtl/>
              </w:rPr>
            </w:pPr>
            <w:r>
              <w:rPr>
                <w:rFonts w:hint="cs"/>
                <w:rtl/>
              </w:rPr>
              <w:t>הוספת גופים נוספים</w:t>
            </w:r>
          </w:p>
        </w:tc>
        <w:tc>
          <w:tcPr>
            <w:tcW w:w="624" w:type="dxa"/>
          </w:tcPr>
          <w:p w14:paraId="5585CBF9" w14:textId="77777777" w:rsidR="00F43909" w:rsidRDefault="00F43909" w:rsidP="00401D4F">
            <w:pPr>
              <w:pStyle w:val="TableText"/>
            </w:pPr>
            <w:r>
              <w:rPr>
                <w:rFonts w:hint="cs"/>
                <w:rtl/>
              </w:rPr>
              <w:t>3.</w:t>
            </w:r>
          </w:p>
        </w:tc>
        <w:tc>
          <w:tcPr>
            <w:tcW w:w="7146" w:type="dxa"/>
          </w:tcPr>
          <w:p w14:paraId="08EEF9A2" w14:textId="77777777" w:rsidR="00F43909" w:rsidRPr="00F13D90" w:rsidRDefault="00F43909" w:rsidP="00401D4F">
            <w:pPr>
              <w:pStyle w:val="TableHead"/>
              <w:keepLines w:val="0"/>
              <w:jc w:val="left"/>
              <w:rPr>
                <w:rtl/>
              </w:rPr>
            </w:pPr>
            <w:r w:rsidRPr="00F13D90">
              <w:rPr>
                <w:rFonts w:hint="cs"/>
                <w:b w:val="0"/>
                <w:bCs w:val="0"/>
                <w:rtl/>
              </w:rPr>
              <w:t>שר המשפטים רשאי ל</w:t>
            </w:r>
            <w:r>
              <w:rPr>
                <w:rFonts w:hint="cs"/>
                <w:b w:val="0"/>
                <w:bCs w:val="0"/>
                <w:rtl/>
              </w:rPr>
              <w:t>קבוע רשימה של</w:t>
            </w:r>
            <w:r w:rsidRPr="00F13D90">
              <w:rPr>
                <w:rFonts w:hint="cs"/>
                <w:b w:val="0"/>
                <w:bCs w:val="0"/>
                <w:rtl/>
              </w:rPr>
              <w:t xml:space="preserve"> גופים נוספים שיידרשו לפרסם פרטי יצירת קשר </w:t>
            </w:r>
            <w:r w:rsidRPr="00066305">
              <w:rPr>
                <w:rFonts w:hint="eastAsia"/>
                <w:b w:val="0"/>
                <w:bCs w:val="0"/>
                <w:rtl/>
              </w:rPr>
              <w:t>כאמור</w:t>
            </w:r>
            <w:r w:rsidRPr="00066305">
              <w:rPr>
                <w:b w:val="0"/>
                <w:bCs w:val="0"/>
                <w:rtl/>
              </w:rPr>
              <w:t xml:space="preserve"> </w:t>
            </w:r>
            <w:r w:rsidRPr="00066305">
              <w:rPr>
                <w:rFonts w:hint="eastAsia"/>
                <w:b w:val="0"/>
                <w:bCs w:val="0"/>
                <w:rtl/>
              </w:rPr>
              <w:t>בסעיף</w:t>
            </w:r>
            <w:r w:rsidRPr="00066305">
              <w:rPr>
                <w:b w:val="0"/>
                <w:bCs w:val="0"/>
                <w:rtl/>
              </w:rPr>
              <w:t xml:space="preserve"> 2</w:t>
            </w:r>
            <w:r>
              <w:rPr>
                <w:rFonts w:hint="cs"/>
                <w:b w:val="0"/>
                <w:bCs w:val="0"/>
                <w:rtl/>
              </w:rPr>
              <w:t>.</w:t>
            </w:r>
          </w:p>
        </w:tc>
      </w:tr>
      <w:tr w:rsidR="00F43909" w14:paraId="1A9AB9F8" w14:textId="77777777" w:rsidTr="00401D4F">
        <w:trPr>
          <w:cantSplit/>
          <w:trHeight w:val="60"/>
        </w:trPr>
        <w:tc>
          <w:tcPr>
            <w:tcW w:w="1871" w:type="dxa"/>
          </w:tcPr>
          <w:p w14:paraId="2F5101B6" w14:textId="77777777" w:rsidR="00F43909" w:rsidRDefault="00F43909" w:rsidP="00401D4F">
            <w:pPr>
              <w:pStyle w:val="TableSideHeading"/>
              <w:keepLines w:val="0"/>
              <w:rPr>
                <w:rtl/>
              </w:rPr>
            </w:pPr>
            <w:r>
              <w:rPr>
                <w:rFonts w:hint="cs"/>
                <w:rtl/>
              </w:rPr>
              <w:t>תחילה</w:t>
            </w:r>
          </w:p>
        </w:tc>
        <w:tc>
          <w:tcPr>
            <w:tcW w:w="624" w:type="dxa"/>
          </w:tcPr>
          <w:p w14:paraId="51BB7649" w14:textId="77777777" w:rsidR="00F43909" w:rsidRDefault="00F43909" w:rsidP="00401D4F">
            <w:pPr>
              <w:pStyle w:val="TableText"/>
            </w:pPr>
            <w:r>
              <w:rPr>
                <w:rFonts w:hint="cs"/>
                <w:rtl/>
              </w:rPr>
              <w:t>4.</w:t>
            </w:r>
          </w:p>
        </w:tc>
        <w:tc>
          <w:tcPr>
            <w:tcW w:w="7146" w:type="dxa"/>
          </w:tcPr>
          <w:p w14:paraId="1FB5C030" w14:textId="77777777" w:rsidR="00F43909" w:rsidRPr="00F13D90" w:rsidRDefault="00F43909" w:rsidP="00401D4F">
            <w:pPr>
              <w:pStyle w:val="TableBlock"/>
              <w:keepLines w:val="0"/>
              <w:rPr>
                <w:rtl/>
              </w:rPr>
            </w:pPr>
            <w:r w:rsidRPr="00F13D90">
              <w:rPr>
                <w:rFonts w:hint="cs"/>
                <w:rtl/>
              </w:rPr>
              <w:t>תחילתו של חוק זה תשעים ימים מיום פרסומו</w:t>
            </w:r>
            <w:r>
              <w:rPr>
                <w:rFonts w:hint="cs"/>
                <w:rtl/>
              </w:rPr>
              <w:t>.</w:t>
            </w:r>
          </w:p>
        </w:tc>
      </w:tr>
      <w:tr w:rsidR="00F43909" w14:paraId="59BB7E6C" w14:textId="77777777" w:rsidTr="00401D4F">
        <w:trPr>
          <w:cantSplit/>
          <w:trHeight w:val="60"/>
        </w:trPr>
        <w:tc>
          <w:tcPr>
            <w:tcW w:w="1871" w:type="dxa"/>
          </w:tcPr>
          <w:p w14:paraId="3CDD3257" w14:textId="77777777" w:rsidR="00F43909" w:rsidRPr="00040225" w:rsidRDefault="00F43909" w:rsidP="00401D4F">
            <w:pPr>
              <w:pStyle w:val="TableHead"/>
              <w:rPr>
                <w:rtl/>
              </w:rPr>
            </w:pPr>
          </w:p>
        </w:tc>
        <w:tc>
          <w:tcPr>
            <w:tcW w:w="624" w:type="dxa"/>
          </w:tcPr>
          <w:p w14:paraId="0CE105E1" w14:textId="77777777" w:rsidR="00F43909" w:rsidRPr="00A76559" w:rsidRDefault="00F43909" w:rsidP="00401D4F">
            <w:pPr>
              <w:pStyle w:val="TableHead"/>
              <w:rPr>
                <w:rtl/>
              </w:rPr>
            </w:pPr>
          </w:p>
        </w:tc>
        <w:tc>
          <w:tcPr>
            <w:tcW w:w="7146" w:type="dxa"/>
          </w:tcPr>
          <w:p w14:paraId="2FAB4D26" w14:textId="77777777" w:rsidR="00F43909" w:rsidRPr="00A76559" w:rsidRDefault="00F43909" w:rsidP="00401D4F">
            <w:pPr>
              <w:pStyle w:val="TableHead"/>
              <w:rPr>
                <w:rtl/>
              </w:rPr>
            </w:pPr>
            <w:r w:rsidRPr="00A76559">
              <w:rPr>
                <w:rFonts w:hint="cs"/>
                <w:rtl/>
              </w:rPr>
              <w:t>תוספת</w:t>
            </w:r>
          </w:p>
        </w:tc>
      </w:tr>
      <w:tr w:rsidR="00F43909" w14:paraId="0DC428C8" w14:textId="77777777" w:rsidTr="00401D4F">
        <w:trPr>
          <w:cantSplit/>
          <w:trHeight w:val="60"/>
        </w:trPr>
        <w:tc>
          <w:tcPr>
            <w:tcW w:w="1871" w:type="dxa"/>
          </w:tcPr>
          <w:p w14:paraId="08EDEA5A" w14:textId="77777777" w:rsidR="00F43909" w:rsidRPr="00040225" w:rsidRDefault="00F43909" w:rsidP="00401D4F">
            <w:pPr>
              <w:pStyle w:val="TableHead"/>
              <w:rPr>
                <w:rtl/>
              </w:rPr>
            </w:pPr>
          </w:p>
        </w:tc>
        <w:tc>
          <w:tcPr>
            <w:tcW w:w="624" w:type="dxa"/>
          </w:tcPr>
          <w:p w14:paraId="2A442E80" w14:textId="77777777" w:rsidR="00F43909" w:rsidRPr="00A76559" w:rsidRDefault="00F43909" w:rsidP="00401D4F">
            <w:pPr>
              <w:pStyle w:val="TableHead"/>
              <w:rPr>
                <w:rtl/>
              </w:rPr>
            </w:pPr>
          </w:p>
        </w:tc>
        <w:tc>
          <w:tcPr>
            <w:tcW w:w="7146" w:type="dxa"/>
          </w:tcPr>
          <w:p w14:paraId="14B8B9FF" w14:textId="77777777" w:rsidR="00F43909" w:rsidRPr="00A374C9" w:rsidRDefault="00F43909" w:rsidP="00401D4F">
            <w:pPr>
              <w:pStyle w:val="TableHead"/>
              <w:rPr>
                <w:b w:val="0"/>
                <w:bCs w:val="0"/>
                <w:rtl/>
              </w:rPr>
            </w:pPr>
            <w:r w:rsidRPr="00A374C9">
              <w:rPr>
                <w:b w:val="0"/>
                <w:bCs w:val="0"/>
                <w:rtl/>
              </w:rPr>
              <w:t>(סעיף 2)</w:t>
            </w:r>
          </w:p>
        </w:tc>
      </w:tr>
      <w:tr w:rsidR="00F43909" w14:paraId="4722E6F9" w14:textId="77777777" w:rsidTr="00401D4F">
        <w:trPr>
          <w:cantSplit/>
          <w:trHeight w:val="60"/>
        </w:trPr>
        <w:tc>
          <w:tcPr>
            <w:tcW w:w="1871" w:type="dxa"/>
          </w:tcPr>
          <w:p w14:paraId="395D3C86" w14:textId="77777777" w:rsidR="00F43909" w:rsidRPr="00040225" w:rsidRDefault="00F43909" w:rsidP="00401D4F">
            <w:pPr>
              <w:pStyle w:val="TableHead"/>
              <w:rPr>
                <w:rtl/>
              </w:rPr>
            </w:pPr>
          </w:p>
        </w:tc>
        <w:tc>
          <w:tcPr>
            <w:tcW w:w="624" w:type="dxa"/>
          </w:tcPr>
          <w:p w14:paraId="48E7BF8A" w14:textId="77777777" w:rsidR="00F43909" w:rsidRPr="00A76559" w:rsidRDefault="00F43909" w:rsidP="00401D4F">
            <w:pPr>
              <w:pStyle w:val="TableHead"/>
              <w:rPr>
                <w:rtl/>
              </w:rPr>
            </w:pPr>
          </w:p>
        </w:tc>
        <w:tc>
          <w:tcPr>
            <w:tcW w:w="7146" w:type="dxa"/>
          </w:tcPr>
          <w:p w14:paraId="7DABE952" w14:textId="77777777" w:rsidR="00F43909" w:rsidRPr="00040225" w:rsidRDefault="00F43909" w:rsidP="00401D4F">
            <w:pPr>
              <w:pStyle w:val="TableBlock"/>
              <w:rPr>
                <w:rtl/>
              </w:rPr>
            </w:pPr>
            <w:r>
              <w:rPr>
                <w:rFonts w:hint="cs"/>
                <w:rtl/>
              </w:rPr>
              <w:t>(1)</w:t>
            </w:r>
            <w:r>
              <w:rPr>
                <w:rtl/>
              </w:rPr>
              <w:tab/>
            </w:r>
            <w:r>
              <w:rPr>
                <w:rFonts w:hint="cs"/>
                <w:rtl/>
              </w:rPr>
              <w:t>משרדי הממשלה, לרבות יחידותיהם ויחידות הסמך שלהם;</w:t>
            </w:r>
          </w:p>
        </w:tc>
      </w:tr>
      <w:tr w:rsidR="00F43909" w14:paraId="2B879996" w14:textId="77777777" w:rsidTr="00401D4F">
        <w:trPr>
          <w:cantSplit/>
          <w:trHeight w:val="60"/>
        </w:trPr>
        <w:tc>
          <w:tcPr>
            <w:tcW w:w="1871" w:type="dxa"/>
          </w:tcPr>
          <w:p w14:paraId="2103C5C9" w14:textId="77777777" w:rsidR="00F43909" w:rsidRPr="00040225" w:rsidRDefault="00F43909" w:rsidP="00401D4F">
            <w:pPr>
              <w:pStyle w:val="TableHead"/>
              <w:rPr>
                <w:rtl/>
              </w:rPr>
            </w:pPr>
          </w:p>
        </w:tc>
        <w:tc>
          <w:tcPr>
            <w:tcW w:w="624" w:type="dxa"/>
          </w:tcPr>
          <w:p w14:paraId="28C77601" w14:textId="77777777" w:rsidR="00F43909" w:rsidRPr="00040225" w:rsidRDefault="00F43909" w:rsidP="00401D4F">
            <w:pPr>
              <w:pStyle w:val="TableText"/>
              <w:rPr>
                <w:rtl/>
              </w:rPr>
            </w:pPr>
          </w:p>
        </w:tc>
        <w:tc>
          <w:tcPr>
            <w:tcW w:w="7146" w:type="dxa"/>
          </w:tcPr>
          <w:p w14:paraId="0706D0DE" w14:textId="77777777" w:rsidR="00F43909" w:rsidRDefault="00F43909" w:rsidP="00401D4F">
            <w:pPr>
              <w:pStyle w:val="TableBlock"/>
              <w:rPr>
                <w:rtl/>
              </w:rPr>
            </w:pPr>
            <w:r>
              <w:rPr>
                <w:rFonts w:hint="cs"/>
                <w:rtl/>
              </w:rPr>
              <w:t>(2)</w:t>
            </w:r>
            <w:r>
              <w:rPr>
                <w:rtl/>
              </w:rPr>
              <w:tab/>
            </w:r>
            <w:r>
              <w:rPr>
                <w:rFonts w:hint="cs"/>
                <w:rtl/>
              </w:rPr>
              <w:t>לשכת נשיא המדינה;</w:t>
            </w:r>
          </w:p>
        </w:tc>
      </w:tr>
      <w:tr w:rsidR="00F43909" w14:paraId="4E2355CC" w14:textId="77777777" w:rsidTr="00401D4F">
        <w:trPr>
          <w:cantSplit/>
          <w:trHeight w:val="60"/>
        </w:trPr>
        <w:tc>
          <w:tcPr>
            <w:tcW w:w="1871" w:type="dxa"/>
          </w:tcPr>
          <w:p w14:paraId="0C1BC72B" w14:textId="77777777" w:rsidR="00F43909" w:rsidRPr="00040225" w:rsidRDefault="00F43909" w:rsidP="00401D4F">
            <w:pPr>
              <w:pStyle w:val="TableHead"/>
              <w:rPr>
                <w:rtl/>
              </w:rPr>
            </w:pPr>
          </w:p>
        </w:tc>
        <w:tc>
          <w:tcPr>
            <w:tcW w:w="624" w:type="dxa"/>
          </w:tcPr>
          <w:p w14:paraId="20B46E87" w14:textId="77777777" w:rsidR="00F43909" w:rsidRPr="00040225" w:rsidRDefault="00F43909" w:rsidP="00401D4F">
            <w:pPr>
              <w:pStyle w:val="TableText"/>
              <w:rPr>
                <w:rtl/>
              </w:rPr>
            </w:pPr>
          </w:p>
        </w:tc>
        <w:tc>
          <w:tcPr>
            <w:tcW w:w="7146" w:type="dxa"/>
          </w:tcPr>
          <w:p w14:paraId="4500E378" w14:textId="77777777" w:rsidR="00F43909" w:rsidRDefault="00F43909" w:rsidP="00401D4F">
            <w:pPr>
              <w:pStyle w:val="TableBlock"/>
              <w:rPr>
                <w:rtl/>
              </w:rPr>
            </w:pPr>
            <w:r>
              <w:rPr>
                <w:rFonts w:hint="cs"/>
                <w:rtl/>
              </w:rPr>
              <w:t>ׁ(3)</w:t>
            </w:r>
            <w:r>
              <w:rPr>
                <w:rtl/>
              </w:rPr>
              <w:tab/>
            </w:r>
            <w:r>
              <w:rPr>
                <w:rFonts w:hint="cs"/>
                <w:rtl/>
              </w:rPr>
              <w:t>מינהל הכנסת;</w:t>
            </w:r>
          </w:p>
        </w:tc>
      </w:tr>
      <w:tr w:rsidR="00F43909" w14:paraId="08CF8772" w14:textId="77777777" w:rsidTr="00401D4F">
        <w:trPr>
          <w:cantSplit/>
          <w:trHeight w:val="60"/>
        </w:trPr>
        <w:tc>
          <w:tcPr>
            <w:tcW w:w="1871" w:type="dxa"/>
          </w:tcPr>
          <w:p w14:paraId="3C9F5FD5" w14:textId="77777777" w:rsidR="00F43909" w:rsidRPr="00040225" w:rsidRDefault="00F43909" w:rsidP="00401D4F">
            <w:pPr>
              <w:pStyle w:val="TableHead"/>
              <w:rPr>
                <w:rtl/>
              </w:rPr>
            </w:pPr>
          </w:p>
        </w:tc>
        <w:tc>
          <w:tcPr>
            <w:tcW w:w="624" w:type="dxa"/>
          </w:tcPr>
          <w:p w14:paraId="492C375C" w14:textId="77777777" w:rsidR="00F43909" w:rsidRPr="00040225" w:rsidRDefault="00F43909" w:rsidP="00401D4F">
            <w:pPr>
              <w:pStyle w:val="TableText"/>
              <w:rPr>
                <w:rtl/>
              </w:rPr>
            </w:pPr>
          </w:p>
        </w:tc>
        <w:tc>
          <w:tcPr>
            <w:tcW w:w="7146" w:type="dxa"/>
          </w:tcPr>
          <w:p w14:paraId="40549B1D" w14:textId="77777777" w:rsidR="00F43909" w:rsidRDefault="00F43909" w:rsidP="00401D4F">
            <w:pPr>
              <w:pStyle w:val="TableBlock"/>
              <w:rPr>
                <w:rtl/>
              </w:rPr>
            </w:pPr>
            <w:r>
              <w:rPr>
                <w:rFonts w:hint="cs"/>
                <w:rtl/>
              </w:rPr>
              <w:t>(4)</w:t>
            </w:r>
            <w:r>
              <w:rPr>
                <w:rtl/>
              </w:rPr>
              <w:tab/>
            </w:r>
            <w:r>
              <w:rPr>
                <w:rFonts w:hint="cs"/>
                <w:rtl/>
              </w:rPr>
              <w:t>מבקר המדינה ועובדי משרדו;</w:t>
            </w:r>
          </w:p>
        </w:tc>
      </w:tr>
      <w:tr w:rsidR="00F43909" w14:paraId="43AEB2F6" w14:textId="77777777" w:rsidTr="00401D4F">
        <w:trPr>
          <w:cantSplit/>
          <w:trHeight w:val="60"/>
        </w:trPr>
        <w:tc>
          <w:tcPr>
            <w:tcW w:w="1871" w:type="dxa"/>
          </w:tcPr>
          <w:p w14:paraId="1C8BE713" w14:textId="77777777" w:rsidR="00F43909" w:rsidRPr="00040225" w:rsidRDefault="00F43909" w:rsidP="00401D4F">
            <w:pPr>
              <w:pStyle w:val="TableHead"/>
              <w:rPr>
                <w:rtl/>
              </w:rPr>
            </w:pPr>
          </w:p>
        </w:tc>
        <w:tc>
          <w:tcPr>
            <w:tcW w:w="624" w:type="dxa"/>
          </w:tcPr>
          <w:p w14:paraId="3E2C8265" w14:textId="77777777" w:rsidR="00F43909" w:rsidRPr="00040225" w:rsidRDefault="00F43909" w:rsidP="00401D4F">
            <w:pPr>
              <w:pStyle w:val="TableText"/>
              <w:rPr>
                <w:rtl/>
              </w:rPr>
            </w:pPr>
          </w:p>
        </w:tc>
        <w:tc>
          <w:tcPr>
            <w:tcW w:w="7146" w:type="dxa"/>
          </w:tcPr>
          <w:p w14:paraId="4C9322E6" w14:textId="77777777" w:rsidR="00F43909" w:rsidRDefault="00F43909" w:rsidP="00401D4F">
            <w:pPr>
              <w:pStyle w:val="TableBlock"/>
              <w:rPr>
                <w:rtl/>
              </w:rPr>
            </w:pPr>
            <w:r>
              <w:rPr>
                <w:rFonts w:hint="cs"/>
                <w:rtl/>
              </w:rPr>
              <w:t>ׁ(5)</w:t>
            </w:r>
            <w:r>
              <w:rPr>
                <w:rtl/>
              </w:rPr>
              <w:tab/>
            </w:r>
            <w:r>
              <w:rPr>
                <w:rFonts w:hint="cs"/>
                <w:rtl/>
              </w:rPr>
              <w:t>בתי המשפט, בתי דין, לשכות הוצאה לפועל וגופים אחרים בעלי סמכות שפיטה על פי דין, למעט בהליכים משפטיים;</w:t>
            </w:r>
          </w:p>
        </w:tc>
      </w:tr>
      <w:tr w:rsidR="00F43909" w14:paraId="5D78D76C" w14:textId="77777777" w:rsidTr="00401D4F">
        <w:trPr>
          <w:cantSplit/>
          <w:trHeight w:val="60"/>
        </w:trPr>
        <w:tc>
          <w:tcPr>
            <w:tcW w:w="1871" w:type="dxa"/>
          </w:tcPr>
          <w:p w14:paraId="2014664E" w14:textId="77777777" w:rsidR="00F43909" w:rsidRPr="00040225" w:rsidRDefault="00F43909" w:rsidP="00401D4F">
            <w:pPr>
              <w:pStyle w:val="TableHead"/>
              <w:rPr>
                <w:rtl/>
              </w:rPr>
            </w:pPr>
          </w:p>
        </w:tc>
        <w:tc>
          <w:tcPr>
            <w:tcW w:w="624" w:type="dxa"/>
          </w:tcPr>
          <w:p w14:paraId="49A57722" w14:textId="77777777" w:rsidR="00F43909" w:rsidRPr="00040225" w:rsidRDefault="00F43909" w:rsidP="00401D4F">
            <w:pPr>
              <w:pStyle w:val="TableText"/>
              <w:rPr>
                <w:rtl/>
              </w:rPr>
            </w:pPr>
          </w:p>
        </w:tc>
        <w:tc>
          <w:tcPr>
            <w:tcW w:w="7146" w:type="dxa"/>
          </w:tcPr>
          <w:p w14:paraId="6BD8210D" w14:textId="77777777" w:rsidR="00F43909" w:rsidRDefault="00F43909" w:rsidP="00401D4F">
            <w:pPr>
              <w:pStyle w:val="TableBlock"/>
              <w:rPr>
                <w:rtl/>
              </w:rPr>
            </w:pPr>
            <w:r>
              <w:rPr>
                <w:rFonts w:hint="cs"/>
                <w:rtl/>
              </w:rPr>
              <w:t>(6)</w:t>
            </w:r>
            <w:r>
              <w:rPr>
                <w:rtl/>
              </w:rPr>
              <w:tab/>
            </w:r>
            <w:r>
              <w:rPr>
                <w:rFonts w:hint="cs"/>
                <w:rtl/>
              </w:rPr>
              <w:t>רשות מקומית, לרבות מועצה מקומית ומועצה אזורית;</w:t>
            </w:r>
          </w:p>
        </w:tc>
      </w:tr>
      <w:tr w:rsidR="00F43909" w14:paraId="4D4B3044" w14:textId="77777777" w:rsidTr="00401D4F">
        <w:trPr>
          <w:cantSplit/>
          <w:trHeight w:val="60"/>
        </w:trPr>
        <w:tc>
          <w:tcPr>
            <w:tcW w:w="1871" w:type="dxa"/>
          </w:tcPr>
          <w:p w14:paraId="7FED330E" w14:textId="77777777" w:rsidR="00F43909" w:rsidRPr="00040225" w:rsidRDefault="00F43909" w:rsidP="00401D4F">
            <w:pPr>
              <w:pStyle w:val="TableHead"/>
              <w:rPr>
                <w:rtl/>
              </w:rPr>
            </w:pPr>
          </w:p>
        </w:tc>
        <w:tc>
          <w:tcPr>
            <w:tcW w:w="624" w:type="dxa"/>
          </w:tcPr>
          <w:p w14:paraId="49CCA4B5" w14:textId="77777777" w:rsidR="00F43909" w:rsidRPr="00040225" w:rsidRDefault="00F43909" w:rsidP="00401D4F">
            <w:pPr>
              <w:pStyle w:val="TableText"/>
              <w:rPr>
                <w:rtl/>
              </w:rPr>
            </w:pPr>
          </w:p>
        </w:tc>
        <w:tc>
          <w:tcPr>
            <w:tcW w:w="7146" w:type="dxa"/>
          </w:tcPr>
          <w:p w14:paraId="4AD7A113" w14:textId="77777777" w:rsidR="00F43909" w:rsidRDefault="00F43909" w:rsidP="00401D4F">
            <w:pPr>
              <w:pStyle w:val="TableBlock"/>
              <w:rPr>
                <w:rtl/>
              </w:rPr>
            </w:pPr>
            <w:r>
              <w:rPr>
                <w:rFonts w:hint="cs"/>
                <w:rtl/>
              </w:rPr>
              <w:t>ׁ(7)</w:t>
            </w:r>
            <w:r>
              <w:rPr>
                <w:rtl/>
              </w:rPr>
              <w:tab/>
            </w:r>
            <w:r>
              <w:rPr>
                <w:rFonts w:hint="cs"/>
                <w:rtl/>
              </w:rPr>
              <w:t>תאגיד מקומי כהגדרתו בחוק חובת המכרזים, התשנ"ב</w:t>
            </w:r>
            <w:r>
              <w:rPr>
                <w:rtl/>
              </w:rPr>
              <w:t>–</w:t>
            </w:r>
            <w:r>
              <w:rPr>
                <w:rFonts w:hint="cs"/>
                <w:rtl/>
              </w:rPr>
              <w:t>1992</w:t>
            </w:r>
            <w:r>
              <w:rPr>
                <w:rStyle w:val="a6"/>
                <w:rtl/>
              </w:rPr>
              <w:footnoteReference w:id="2"/>
            </w:r>
            <w:r>
              <w:rPr>
                <w:rFonts w:hint="cs"/>
                <w:rtl/>
              </w:rPr>
              <w:t>;</w:t>
            </w:r>
          </w:p>
        </w:tc>
      </w:tr>
      <w:tr w:rsidR="00F43909" w14:paraId="50119E66" w14:textId="77777777" w:rsidTr="00401D4F">
        <w:trPr>
          <w:cantSplit/>
          <w:trHeight w:val="60"/>
        </w:trPr>
        <w:tc>
          <w:tcPr>
            <w:tcW w:w="1871" w:type="dxa"/>
          </w:tcPr>
          <w:p w14:paraId="58877CCA" w14:textId="77777777" w:rsidR="00F43909" w:rsidRPr="00040225" w:rsidRDefault="00F43909" w:rsidP="00401D4F">
            <w:pPr>
              <w:pStyle w:val="TableHead"/>
              <w:rPr>
                <w:rtl/>
              </w:rPr>
            </w:pPr>
          </w:p>
        </w:tc>
        <w:tc>
          <w:tcPr>
            <w:tcW w:w="624" w:type="dxa"/>
          </w:tcPr>
          <w:p w14:paraId="60CB3449" w14:textId="77777777" w:rsidR="00F43909" w:rsidRPr="00040225" w:rsidRDefault="00F43909" w:rsidP="00401D4F">
            <w:pPr>
              <w:pStyle w:val="TableText"/>
              <w:rPr>
                <w:rtl/>
              </w:rPr>
            </w:pPr>
          </w:p>
        </w:tc>
        <w:tc>
          <w:tcPr>
            <w:tcW w:w="7146" w:type="dxa"/>
          </w:tcPr>
          <w:p w14:paraId="6EA1CBBA" w14:textId="77777777" w:rsidR="00F43909" w:rsidRDefault="00F43909" w:rsidP="00401D4F">
            <w:pPr>
              <w:pStyle w:val="TableBlock"/>
              <w:rPr>
                <w:rtl/>
              </w:rPr>
            </w:pPr>
            <w:r>
              <w:rPr>
                <w:rFonts w:hint="cs"/>
                <w:rtl/>
              </w:rPr>
              <w:t xml:space="preserve">(8) </w:t>
            </w:r>
            <w:r>
              <w:rPr>
                <w:rtl/>
              </w:rPr>
              <w:tab/>
            </w:r>
            <w:r>
              <w:rPr>
                <w:rFonts w:hint="cs"/>
                <w:rtl/>
              </w:rPr>
              <w:t>מוסד רפואי כהגדרתו בפקודת בריאות העם, 1940</w:t>
            </w:r>
            <w:r>
              <w:rPr>
                <w:rStyle w:val="a6"/>
                <w:rtl/>
              </w:rPr>
              <w:footnoteReference w:id="3"/>
            </w:r>
            <w:r>
              <w:rPr>
                <w:rFonts w:hint="cs"/>
                <w:rtl/>
              </w:rPr>
              <w:t>;</w:t>
            </w:r>
          </w:p>
        </w:tc>
      </w:tr>
      <w:tr w:rsidR="00F43909" w14:paraId="46CD03E8" w14:textId="77777777" w:rsidTr="00401D4F">
        <w:trPr>
          <w:cantSplit/>
          <w:trHeight w:val="60"/>
        </w:trPr>
        <w:tc>
          <w:tcPr>
            <w:tcW w:w="1871" w:type="dxa"/>
          </w:tcPr>
          <w:p w14:paraId="4EF68466" w14:textId="77777777" w:rsidR="00F43909" w:rsidRPr="00040225" w:rsidRDefault="00F43909" w:rsidP="00401D4F">
            <w:pPr>
              <w:pStyle w:val="TableHead"/>
              <w:rPr>
                <w:rtl/>
              </w:rPr>
            </w:pPr>
          </w:p>
        </w:tc>
        <w:tc>
          <w:tcPr>
            <w:tcW w:w="624" w:type="dxa"/>
          </w:tcPr>
          <w:p w14:paraId="6242129F" w14:textId="77777777" w:rsidR="00F43909" w:rsidRPr="00040225" w:rsidRDefault="00F43909" w:rsidP="00401D4F">
            <w:pPr>
              <w:pStyle w:val="TableText"/>
              <w:rPr>
                <w:rtl/>
              </w:rPr>
            </w:pPr>
          </w:p>
        </w:tc>
        <w:tc>
          <w:tcPr>
            <w:tcW w:w="7146" w:type="dxa"/>
          </w:tcPr>
          <w:p w14:paraId="1BD1483D" w14:textId="77777777" w:rsidR="00F43909" w:rsidRDefault="00F43909" w:rsidP="00401D4F">
            <w:pPr>
              <w:pStyle w:val="TableBlock"/>
              <w:rPr>
                <w:rtl/>
              </w:rPr>
            </w:pPr>
            <w:r>
              <w:rPr>
                <w:rFonts w:hint="cs"/>
                <w:rtl/>
              </w:rPr>
              <w:t>(9)</w:t>
            </w:r>
            <w:r>
              <w:rPr>
                <w:rtl/>
              </w:rPr>
              <w:tab/>
            </w:r>
            <w:r>
              <w:rPr>
                <w:rFonts w:hint="cs"/>
                <w:rtl/>
              </w:rPr>
              <w:t>גוף או תאגיד שהוקם בחוק;</w:t>
            </w:r>
          </w:p>
        </w:tc>
      </w:tr>
      <w:tr w:rsidR="00F43909" w14:paraId="703B8BCD" w14:textId="77777777" w:rsidTr="00401D4F">
        <w:trPr>
          <w:cantSplit/>
          <w:trHeight w:val="60"/>
        </w:trPr>
        <w:tc>
          <w:tcPr>
            <w:tcW w:w="1871" w:type="dxa"/>
          </w:tcPr>
          <w:p w14:paraId="421BBA84" w14:textId="77777777" w:rsidR="00F43909" w:rsidRPr="00040225" w:rsidRDefault="00F43909" w:rsidP="00401D4F">
            <w:pPr>
              <w:pStyle w:val="TableHead"/>
              <w:rPr>
                <w:rtl/>
              </w:rPr>
            </w:pPr>
          </w:p>
        </w:tc>
        <w:tc>
          <w:tcPr>
            <w:tcW w:w="624" w:type="dxa"/>
          </w:tcPr>
          <w:p w14:paraId="3CCF2E9F" w14:textId="77777777" w:rsidR="00F43909" w:rsidRPr="00040225" w:rsidRDefault="00F43909" w:rsidP="00401D4F">
            <w:pPr>
              <w:pStyle w:val="TableText"/>
              <w:rPr>
                <w:rtl/>
              </w:rPr>
            </w:pPr>
          </w:p>
        </w:tc>
        <w:tc>
          <w:tcPr>
            <w:tcW w:w="7146" w:type="dxa"/>
          </w:tcPr>
          <w:p w14:paraId="733C6D57" w14:textId="33DC08A7" w:rsidR="00F43909" w:rsidRDefault="00F43909" w:rsidP="00FE12E2">
            <w:pPr>
              <w:pStyle w:val="TableBlock"/>
              <w:rPr>
                <w:rtl/>
              </w:rPr>
            </w:pPr>
            <w:r>
              <w:rPr>
                <w:rFonts w:hint="cs"/>
                <w:rtl/>
              </w:rPr>
              <w:t>ׁ(10)</w:t>
            </w:r>
            <w:r>
              <w:rPr>
                <w:rtl/>
              </w:rPr>
              <w:tab/>
            </w:r>
            <w:r>
              <w:rPr>
                <w:rFonts w:hint="cs"/>
                <w:rtl/>
              </w:rPr>
              <w:t>גוף מבוקר כמ</w:t>
            </w:r>
            <w:r w:rsidR="00B46DD2">
              <w:rPr>
                <w:rFonts w:hint="cs"/>
                <w:rtl/>
              </w:rPr>
              <w:t>שמעותו בסעיף 9 לחוק מבקר המדינה</w:t>
            </w:r>
            <w:r>
              <w:rPr>
                <w:rtl/>
              </w:rPr>
              <w:t>, התשי"ח–</w:t>
            </w:r>
            <w:r>
              <w:rPr>
                <w:rFonts w:hint="cs"/>
                <w:rtl/>
              </w:rPr>
              <w:t>1958</w:t>
            </w:r>
            <w:r w:rsidR="00B46DD2">
              <w:rPr>
                <w:rFonts w:hint="cs"/>
                <w:rtl/>
              </w:rPr>
              <w:t xml:space="preserve"> [נוסח משולב]</w:t>
            </w:r>
            <w:r>
              <w:rPr>
                <w:rStyle w:val="a6"/>
                <w:rtl/>
              </w:rPr>
              <w:footnoteReference w:id="4"/>
            </w:r>
            <w:r w:rsidR="00B46DD2">
              <w:rPr>
                <w:rFonts w:hint="cs"/>
                <w:rtl/>
              </w:rPr>
              <w:t>,</w:t>
            </w:r>
            <w:r>
              <w:rPr>
                <w:rFonts w:hint="cs"/>
                <w:rtl/>
              </w:rPr>
              <w:t xml:space="preserve"> למעט הגופים המנויים בסעיף 9(8) לאותו החוק, </w:t>
            </w:r>
            <w:r>
              <w:rPr>
                <w:rFonts w:hint="eastAsia"/>
                <w:rtl/>
              </w:rPr>
              <w:t>שאינ</w:t>
            </w:r>
            <w:r>
              <w:rPr>
                <w:rFonts w:hint="cs"/>
                <w:rtl/>
              </w:rPr>
              <w:t>ו</w:t>
            </w:r>
            <w:r>
              <w:rPr>
                <w:rtl/>
              </w:rPr>
              <w:t xml:space="preserve"> מנוי</w:t>
            </w:r>
            <w:r w:rsidRPr="00876A07">
              <w:rPr>
                <w:rtl/>
              </w:rPr>
              <w:t xml:space="preserve"> בסעיפים אחרים בתוספת</w:t>
            </w:r>
            <w:r>
              <w:rPr>
                <w:rFonts w:hint="cs"/>
                <w:rtl/>
              </w:rPr>
              <w:t xml:space="preserve"> האמורה ו</w:t>
            </w:r>
            <w:r>
              <w:rPr>
                <w:rtl/>
              </w:rPr>
              <w:t>שנקבע</w:t>
            </w:r>
            <w:r w:rsidR="00CF3D61">
              <w:rPr>
                <w:rtl/>
              </w:rPr>
              <w:t xml:space="preserve"> בצו בידי שר המשפטים</w:t>
            </w:r>
            <w:r w:rsidR="00CF3D61">
              <w:rPr>
                <w:rFonts w:hint="cs"/>
                <w:rtl/>
              </w:rPr>
              <w:t>;</w:t>
            </w:r>
          </w:p>
        </w:tc>
      </w:tr>
      <w:tr w:rsidR="00F43909" w14:paraId="6449A64D" w14:textId="77777777" w:rsidTr="00401D4F">
        <w:trPr>
          <w:cantSplit/>
          <w:trHeight w:val="60"/>
        </w:trPr>
        <w:tc>
          <w:tcPr>
            <w:tcW w:w="1871" w:type="dxa"/>
          </w:tcPr>
          <w:p w14:paraId="376F3893" w14:textId="77777777" w:rsidR="00F43909" w:rsidRPr="00040225" w:rsidRDefault="00F43909" w:rsidP="00401D4F">
            <w:pPr>
              <w:pStyle w:val="TableHead"/>
              <w:rPr>
                <w:rtl/>
              </w:rPr>
            </w:pPr>
          </w:p>
        </w:tc>
        <w:tc>
          <w:tcPr>
            <w:tcW w:w="624" w:type="dxa"/>
          </w:tcPr>
          <w:p w14:paraId="40DA380B" w14:textId="77777777" w:rsidR="00F43909" w:rsidRPr="00040225" w:rsidRDefault="00F43909" w:rsidP="00401D4F">
            <w:pPr>
              <w:pStyle w:val="TableText"/>
              <w:rPr>
                <w:rtl/>
              </w:rPr>
            </w:pPr>
          </w:p>
        </w:tc>
        <w:tc>
          <w:tcPr>
            <w:tcW w:w="7146" w:type="dxa"/>
          </w:tcPr>
          <w:p w14:paraId="0EA4D345" w14:textId="77777777" w:rsidR="00F43909" w:rsidRDefault="00F43909" w:rsidP="00401D4F">
            <w:pPr>
              <w:pStyle w:val="TableBlock"/>
              <w:rPr>
                <w:rtl/>
              </w:rPr>
            </w:pPr>
            <w:r>
              <w:rPr>
                <w:rFonts w:hint="cs"/>
                <w:rtl/>
              </w:rPr>
              <w:t>(11)</w:t>
            </w:r>
            <w:r>
              <w:rPr>
                <w:rtl/>
              </w:rPr>
              <w:tab/>
            </w:r>
            <w:r>
              <w:rPr>
                <w:rFonts w:hint="cs"/>
                <w:rtl/>
              </w:rPr>
              <w:t xml:space="preserve">עוסקים </w:t>
            </w:r>
            <w:r w:rsidRPr="00100135">
              <w:rPr>
                <w:rtl/>
              </w:rPr>
              <w:t>המנויים בתוספת השנייה לחוק הגנת הצרכן, התשמ"א</w:t>
            </w:r>
            <w:r>
              <w:rPr>
                <w:rtl/>
              </w:rPr>
              <w:t>–</w:t>
            </w:r>
            <w:r w:rsidRPr="00100135">
              <w:rPr>
                <w:rtl/>
              </w:rPr>
              <w:t xml:space="preserve"> 1981</w:t>
            </w:r>
            <w:r>
              <w:rPr>
                <w:rStyle w:val="a6"/>
                <w:rtl/>
              </w:rPr>
              <w:footnoteReference w:id="5"/>
            </w:r>
            <w:r>
              <w:rPr>
                <w:rFonts w:hint="cs"/>
                <w:rtl/>
              </w:rPr>
              <w:t>.</w:t>
            </w:r>
          </w:p>
        </w:tc>
      </w:tr>
    </w:tbl>
    <w:p w14:paraId="0C37866A" w14:textId="77777777" w:rsidR="00F43909" w:rsidRPr="00F60612" w:rsidRDefault="00F43909" w:rsidP="00CF3D61">
      <w:pPr>
        <w:pStyle w:val="HeadDivreiHesber"/>
        <w:rPr>
          <w:rtl/>
        </w:rPr>
      </w:pPr>
      <w:r w:rsidRPr="00F60612">
        <w:rPr>
          <w:rFonts w:hint="cs"/>
          <w:rtl/>
        </w:rPr>
        <w:t>דברי הסבר</w:t>
      </w:r>
    </w:p>
    <w:p w14:paraId="492C4CFA" w14:textId="051D4FFA" w:rsidR="00F43909" w:rsidRPr="00F60612" w:rsidRDefault="00F43909" w:rsidP="00F43909">
      <w:pPr>
        <w:pStyle w:val="Hesber"/>
        <w:rPr>
          <w:rtl/>
        </w:rPr>
      </w:pPr>
      <w:r w:rsidRPr="00F60612">
        <w:rPr>
          <w:rFonts w:hint="cs"/>
          <w:rtl/>
        </w:rPr>
        <w:t>באתרי האינטרנט של גופים ציבוריים רבים לא מופיעים פרטי יצירת קשר של העובדים השונים. דבר זה מקשה על הציבור בבואו לפנות אליהם לצורך קבלת מענה לפניותיו. היעדר הנחיות ברורות בסוגיה זו, מוביל לשוני רב בין גופים הציבוריים השונים באופן הפרסום של הפרטים ומשכך לפערים גדולים בזמינות ב</w:t>
      </w:r>
      <w:r w:rsidR="00CF3D61">
        <w:rPr>
          <w:rFonts w:hint="cs"/>
          <w:rtl/>
        </w:rPr>
        <w:t>י</w:t>
      </w:r>
      <w:r w:rsidRPr="00F60612">
        <w:rPr>
          <w:rFonts w:hint="cs"/>
          <w:rtl/>
        </w:rPr>
        <w:t>ניהם. ישנו צורך להנגיש את היכולת ליצור קשר עם עובדי הציבור בתחום אחריותם ופעילותם.</w:t>
      </w:r>
    </w:p>
    <w:p w14:paraId="4391DCB3" w14:textId="70A072E9" w:rsidR="00F43909" w:rsidRPr="00F60612" w:rsidRDefault="00F43909" w:rsidP="00F43909">
      <w:pPr>
        <w:pStyle w:val="Hesber"/>
        <w:rPr>
          <w:rtl/>
        </w:rPr>
      </w:pPr>
      <w:r w:rsidRPr="00F60612">
        <w:rPr>
          <w:rFonts w:hint="cs"/>
          <w:rtl/>
        </w:rPr>
        <w:t>לפיכך, מוצע כי גופים ציבוריים המנויים בתוספת להצעת החוק יהיו חייבים לפרסם בכל אחד מפרסומיהם הרשמיים</w:t>
      </w:r>
      <w:r w:rsidR="00CF3D61">
        <w:rPr>
          <w:rFonts w:hint="cs"/>
          <w:rtl/>
        </w:rPr>
        <w:t>,</w:t>
      </w:r>
      <w:r w:rsidRPr="00F60612">
        <w:rPr>
          <w:rFonts w:hint="cs"/>
          <w:rtl/>
        </w:rPr>
        <w:t xml:space="preserve"> לרבות באתרי האינטרנט שלהם, כתובת דואר אלקטרוני עדכנית של עובדי המשרד או מספר טלפון של העובד או מי מטעמו. כך ניתן יהיה להנגיש את השירות הציבורי לאזרח ולהגביר את אמון הציבור בגופים הציבוריים המנויים בחוק זה. </w:t>
      </w:r>
    </w:p>
    <w:p w14:paraId="4DCC9C9D" w14:textId="77777777" w:rsidR="00F43909" w:rsidRDefault="00F43909" w:rsidP="00F43909">
      <w:pPr>
        <w:pStyle w:val="Hesber"/>
        <w:rPr>
          <w:rtl/>
        </w:rPr>
      </w:pPr>
    </w:p>
    <w:p w14:paraId="3052C328" w14:textId="77777777" w:rsidR="00FE12E2" w:rsidRDefault="00FE12E2" w:rsidP="00F43909">
      <w:pPr>
        <w:pStyle w:val="Hesber"/>
        <w:rPr>
          <w:rtl/>
        </w:rPr>
      </w:pPr>
      <w:bookmarkStart w:id="8" w:name="_GoBack"/>
      <w:bookmarkEnd w:id="8"/>
    </w:p>
    <w:p w14:paraId="23844DC2" w14:textId="77777777" w:rsidR="00FE12E2" w:rsidRPr="00D73212" w:rsidRDefault="00FE12E2" w:rsidP="00FE12E2">
      <w:pPr>
        <w:pStyle w:val="Hesber"/>
        <w:rPr>
          <w:color w:val="auto"/>
          <w:rtl/>
          <w:lang w:eastAsia="en-US"/>
        </w:rPr>
      </w:pPr>
      <w:r w:rsidRPr="00D73212">
        <w:rPr>
          <w:color w:val="auto"/>
          <w:rtl/>
          <w:lang w:eastAsia="en-US"/>
        </w:rPr>
        <w:t>---------------------------------</w:t>
      </w:r>
    </w:p>
    <w:p w14:paraId="25A7DB94" w14:textId="77777777" w:rsidR="00FE12E2" w:rsidRPr="00D73212" w:rsidRDefault="00FE12E2" w:rsidP="00FE12E2">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339F76E9" w14:textId="77777777" w:rsidR="00FE12E2" w:rsidRPr="00D73212" w:rsidRDefault="00FE12E2" w:rsidP="00FE12E2">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07A1A0B0" w14:textId="77777777" w:rsidR="00FE12E2" w:rsidRPr="00317312" w:rsidRDefault="00FE12E2" w:rsidP="00FE12E2">
      <w:pPr>
        <w:pStyle w:val="Hesber"/>
      </w:pPr>
      <w:r>
        <w:rPr>
          <w:rFonts w:hint="cs"/>
          <w:color w:val="auto"/>
          <w:rtl/>
          <w:lang w:eastAsia="en-US"/>
        </w:rPr>
        <w:t>י"ד בסיוון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20.6</w:t>
      </w:r>
      <w:r w:rsidRPr="00D73212">
        <w:rPr>
          <w:color w:val="auto"/>
          <w:rtl/>
          <w:lang w:eastAsia="en-US"/>
        </w:rPr>
        <w:t>.1</w:t>
      </w:r>
      <w:r>
        <w:rPr>
          <w:rFonts w:hint="cs"/>
          <w:color w:val="auto"/>
          <w:rtl/>
          <w:lang w:eastAsia="en-US"/>
        </w:rPr>
        <w:t>6</w:t>
      </w:r>
    </w:p>
    <w:p w14:paraId="02297920" w14:textId="77777777" w:rsidR="000F2E83" w:rsidRPr="00FE12E2" w:rsidRDefault="000F2E83" w:rsidP="00F43909">
      <w:pPr>
        <w:rPr>
          <w:rtl/>
        </w:rPr>
      </w:pPr>
    </w:p>
    <w:sectPr w:rsidR="000F2E83" w:rsidRPr="00FE12E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7670C" w14:textId="77777777" w:rsidR="0071078E" w:rsidRDefault="0071078E">
      <w:r>
        <w:separator/>
      </w:r>
    </w:p>
  </w:endnote>
  <w:endnote w:type="continuationSeparator" w:id="0">
    <w:p w14:paraId="306F96D7" w14:textId="77777777" w:rsidR="0071078E" w:rsidRDefault="0071078E">
      <w:r>
        <w:continuationSeparator/>
      </w:r>
    </w:p>
  </w:endnote>
  <w:endnote w:type="continuationNotice" w:id="1">
    <w:p w14:paraId="7F42DF24" w14:textId="77777777" w:rsidR="0071078E" w:rsidRDefault="0071078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71078E" w:rsidRDefault="0071078E"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71078E" w:rsidRDefault="0071078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71078E" w:rsidRDefault="0071078E"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E12E2">
      <w:rPr>
        <w:rStyle w:val="ab"/>
        <w:noProof/>
        <w:rtl/>
      </w:rPr>
      <w:t>2</w:t>
    </w:r>
    <w:r>
      <w:rPr>
        <w:rStyle w:val="ab"/>
        <w:rtl/>
      </w:rPr>
      <w:fldChar w:fldCharType="end"/>
    </w:r>
  </w:p>
  <w:p w14:paraId="7F6961D8" w14:textId="77777777" w:rsidR="0071078E" w:rsidRDefault="007107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0A021" w14:textId="77777777" w:rsidR="0071078E" w:rsidRDefault="0071078E">
      <w:r>
        <w:separator/>
      </w:r>
    </w:p>
  </w:footnote>
  <w:footnote w:type="continuationSeparator" w:id="0">
    <w:p w14:paraId="08B0CE43" w14:textId="77777777" w:rsidR="0071078E" w:rsidRDefault="0071078E">
      <w:r>
        <w:continuationSeparator/>
      </w:r>
    </w:p>
  </w:footnote>
  <w:footnote w:type="continuationNotice" w:id="1">
    <w:p w14:paraId="61AEF037" w14:textId="77777777" w:rsidR="0071078E" w:rsidRDefault="0071078E"/>
  </w:footnote>
  <w:footnote w:id="2">
    <w:p w14:paraId="3DA107DB" w14:textId="77777777" w:rsidR="00F43909" w:rsidRDefault="00F43909" w:rsidP="00F43909">
      <w:pPr>
        <w:pStyle w:val="a4"/>
        <w:rPr>
          <w:rtl/>
        </w:rPr>
      </w:pPr>
      <w:r>
        <w:rPr>
          <w:rStyle w:val="a6"/>
        </w:rPr>
        <w:footnoteRef/>
      </w:r>
      <w:r>
        <w:rPr>
          <w:rtl/>
        </w:rPr>
        <w:t xml:space="preserve"> </w:t>
      </w:r>
      <w:r w:rsidRPr="00100135">
        <w:rPr>
          <w:rtl/>
        </w:rPr>
        <w:t>ס"ח התשנ"ב, עמ' 114</w:t>
      </w:r>
    </w:p>
  </w:footnote>
  <w:footnote w:id="3">
    <w:p w14:paraId="65B727B6" w14:textId="493B1E18" w:rsidR="00F43909" w:rsidRDefault="00F43909" w:rsidP="00F43909">
      <w:pPr>
        <w:pStyle w:val="a4"/>
      </w:pPr>
      <w:r>
        <w:rPr>
          <w:rStyle w:val="a6"/>
        </w:rPr>
        <w:footnoteRef/>
      </w:r>
      <w:r>
        <w:rPr>
          <w:rtl/>
        </w:rPr>
        <w:t xml:space="preserve"> </w:t>
      </w:r>
      <w:r w:rsidR="00FC3BBA">
        <w:rPr>
          <w:rFonts w:hint="cs"/>
          <w:rtl/>
        </w:rPr>
        <w:t>ע"ר 1940</w:t>
      </w:r>
      <w:r>
        <w:rPr>
          <w:rFonts w:hint="cs"/>
          <w:rtl/>
        </w:rPr>
        <w:t>, תוס' 1, עמ' (ע) 191, (א) 239.</w:t>
      </w:r>
    </w:p>
  </w:footnote>
  <w:footnote w:id="4">
    <w:p w14:paraId="3E7B5213" w14:textId="77777777" w:rsidR="00F43909" w:rsidRDefault="00F43909" w:rsidP="00F43909">
      <w:pPr>
        <w:pStyle w:val="a4"/>
        <w:rPr>
          <w:rtl/>
        </w:rPr>
      </w:pPr>
      <w:r>
        <w:rPr>
          <w:rStyle w:val="a6"/>
        </w:rPr>
        <w:footnoteRef/>
      </w:r>
      <w:r>
        <w:rPr>
          <w:rtl/>
        </w:rPr>
        <w:t xml:space="preserve"> </w:t>
      </w:r>
      <w:r>
        <w:rPr>
          <w:rFonts w:hint="cs"/>
          <w:rtl/>
        </w:rPr>
        <w:t>ס"ח התשי"ח, עמ' 92.</w:t>
      </w:r>
    </w:p>
  </w:footnote>
  <w:footnote w:id="5">
    <w:p w14:paraId="1C087E64" w14:textId="77777777" w:rsidR="00F43909" w:rsidRDefault="00F43909" w:rsidP="00F43909">
      <w:pPr>
        <w:pStyle w:val="a4"/>
        <w:rPr>
          <w:rtl/>
        </w:rPr>
      </w:pPr>
      <w:r>
        <w:rPr>
          <w:rStyle w:val="a6"/>
        </w:rPr>
        <w:footnoteRef/>
      </w:r>
      <w:r>
        <w:rPr>
          <w:rtl/>
        </w:rPr>
        <w:t xml:space="preserve"> </w:t>
      </w:r>
      <w:r>
        <w:rPr>
          <w:rFonts w:hint="cs"/>
          <w:rtl/>
        </w:rPr>
        <w:t>ס"ח התשמ"א, עמ' 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97AAF"/>
    <w:multiLevelType w:val="hybridMultilevel"/>
    <w:tmpl w:val="CC8A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220EF"/>
    <w:rsid w:val="00063A3E"/>
    <w:rsid w:val="00072CAC"/>
    <w:rsid w:val="0007681A"/>
    <w:rsid w:val="000A542E"/>
    <w:rsid w:val="000F2E83"/>
    <w:rsid w:val="00102B6B"/>
    <w:rsid w:val="001052D4"/>
    <w:rsid w:val="0010644B"/>
    <w:rsid w:val="001207F8"/>
    <w:rsid w:val="00121924"/>
    <w:rsid w:val="001279A8"/>
    <w:rsid w:val="0014195F"/>
    <w:rsid w:val="00152609"/>
    <w:rsid w:val="00153E1B"/>
    <w:rsid w:val="001A05D9"/>
    <w:rsid w:val="001A0623"/>
    <w:rsid w:val="001C23B0"/>
    <w:rsid w:val="001C7806"/>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078E"/>
    <w:rsid w:val="00712C72"/>
    <w:rsid w:val="0073456E"/>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46DD2"/>
    <w:rsid w:val="00B733A7"/>
    <w:rsid w:val="00B75C91"/>
    <w:rsid w:val="00B975AD"/>
    <w:rsid w:val="00BC45FB"/>
    <w:rsid w:val="00BF148D"/>
    <w:rsid w:val="00BF7AEA"/>
    <w:rsid w:val="00C23B1A"/>
    <w:rsid w:val="00C310EB"/>
    <w:rsid w:val="00C9176A"/>
    <w:rsid w:val="00CF1AA2"/>
    <w:rsid w:val="00CF3D61"/>
    <w:rsid w:val="00D17774"/>
    <w:rsid w:val="00D63620"/>
    <w:rsid w:val="00D76A52"/>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13D90"/>
    <w:rsid w:val="00F43909"/>
    <w:rsid w:val="00F628D6"/>
    <w:rsid w:val="00F67051"/>
    <w:rsid w:val="00F86A1E"/>
    <w:rsid w:val="00FA5E88"/>
    <w:rsid w:val="00FC3BBA"/>
    <w:rsid w:val="00FE1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9D7F7970-B3B6-4ED9-8725-A08B7E3F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0F2E83"/>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5FAC5E42-143C-4FA3-A748-3BB1D0BC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925885D-F028-4137-BAA4-C9CE53F6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393</Words>
  <Characters>1967</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12</cp:revision>
  <cp:lastPrinted>2016-06-15T11:19:00Z</cp:lastPrinted>
  <dcterms:created xsi:type="dcterms:W3CDTF">2015-04-20T09:58:00Z</dcterms:created>
  <dcterms:modified xsi:type="dcterms:W3CDTF">2016-06-15T11:19:00Z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578930</vt:r8>
  </property>
</Properties>
</file>