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00131B" w:rsidRDefault="004033D8" w:rsidP="00A443CF">
      <w:pPr>
        <w:pStyle w:val="HeadHatzaotHok"/>
        <w:jc w:val="right"/>
        <w:rPr>
          <w:b w:val="0"/>
          <w:bCs w:val="0"/>
          <w:szCs w:val="20"/>
        </w:rPr>
      </w:pPr>
      <w:r w:rsidRPr="0000131B">
        <w:rPr>
          <w:rFonts w:hint="cs"/>
          <w:b w:val="0"/>
          <w:bCs w:val="0"/>
          <w:szCs w:val="20"/>
          <w:rtl/>
        </w:rPr>
        <w:t xml:space="preserve">מספר פנימי: </w:t>
      </w:r>
      <w:bookmarkStart w:id="0" w:name="LGS_Internal_ID"/>
      <w:r>
        <w:rPr>
          <w:rFonts w:hint="cs"/>
          <w:b w:val="0"/>
          <w:bCs w:val="0"/>
          <w:szCs w:val="20"/>
          <w:rtl/>
        </w:rPr>
        <w:t>577061</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w:t>
      </w:r>
      <w:bookmarkEnd w:id="1"/>
    </w:p>
    <w:p w14:paraId="59D9E698" w14:textId="77777777" w:rsidR="00A64C50" w:rsidRDefault="00A64C50" w:rsidP="00930EFE">
      <w:pPr>
        <w:pStyle w:val="David"/>
        <w:spacing w:line="360" w:lineRule="auto"/>
        <w:ind w:left="3544"/>
        <w:rPr>
          <w:b/>
          <w:bCs/>
          <w:rtl/>
        </w:rPr>
      </w:pPr>
      <w:bookmarkStart w:id="2" w:name="LGS_Initiators_List"/>
    </w:p>
    <w:p w14:paraId="34DB4103" w14:textId="03FFB16F" w:rsidR="00904591" w:rsidRPr="00904591" w:rsidRDefault="008F6665" w:rsidP="00A64C50">
      <w:pPr>
        <w:pStyle w:val="David"/>
        <w:spacing w:line="360" w:lineRule="auto"/>
        <w:ind w:left="2160"/>
        <w:rPr>
          <w:sz w:val="4"/>
          <w:szCs w:val="4"/>
          <w:rtl/>
        </w:rPr>
      </w:pPr>
      <w:r>
        <w:rPr>
          <w:b/>
          <w:bCs/>
          <w:rtl/>
        </w:rPr>
        <w:t>יוזמים:      חברי הכנסת</w:t>
      </w:r>
      <w:bookmarkEnd w:id="2"/>
      <w:r w:rsidR="00B35784" w:rsidRPr="00F67051">
        <w:rPr>
          <w:b/>
          <w:bCs/>
        </w:rPr>
        <w:tab/>
      </w:r>
      <w:bookmarkStart w:id="3" w:name="LGS_PM_Names"/>
      <w:r>
        <w:rPr>
          <w:rFonts w:hint="cs"/>
          <w:b/>
          <w:bCs/>
          <w:rtl/>
        </w:rPr>
        <w:t>נורית קורן</w:t>
      </w:r>
      <w:r w:rsidR="00A64C50" w:rsidRPr="00A64C50">
        <w:rPr>
          <w:rFonts w:hint="cs"/>
          <w:b/>
          <w:bCs/>
          <w:rtl/>
        </w:rPr>
        <w:t xml:space="preserve"> </w:t>
      </w:r>
      <w:r w:rsidR="00A64C50">
        <w:rPr>
          <w:b/>
          <w:bCs/>
          <w:rtl/>
        </w:rPr>
        <w:tab/>
      </w:r>
      <w:r w:rsidR="00A64C50">
        <w:rPr>
          <w:b/>
          <w:bCs/>
          <w:rtl/>
        </w:rPr>
        <w:tab/>
      </w:r>
      <w:r w:rsidR="00A64C50">
        <w:rPr>
          <w:rFonts w:hint="cs"/>
          <w:b/>
          <w:bCs/>
          <w:rtl/>
        </w:rPr>
        <w:t>יואל רזבוזוב</w:t>
      </w:r>
      <w:r>
        <w:br/>
      </w:r>
      <w:r>
        <w:rPr>
          <w:rFonts w:hint="cs"/>
          <w:b/>
          <w:bCs/>
          <w:rtl/>
        </w:rPr>
        <w:t xml:space="preserve"> </w:t>
      </w:r>
      <w:r>
        <w:tab/>
      </w:r>
      <w:r>
        <w:tab/>
      </w:r>
      <w:r>
        <w:tab/>
      </w:r>
      <w:r>
        <w:tab/>
      </w:r>
      <w:r>
        <w:rPr>
          <w:rFonts w:hint="cs"/>
          <w:b/>
          <w:bCs/>
          <w:rtl/>
        </w:rPr>
        <w:t>אלי כהן</w:t>
      </w:r>
      <w:r w:rsidR="00A64C50" w:rsidRPr="00A64C50">
        <w:rPr>
          <w:rFonts w:hint="cs"/>
          <w:b/>
          <w:bCs/>
          <w:rtl/>
        </w:rPr>
        <w:t xml:space="preserve"> </w:t>
      </w:r>
      <w:r w:rsidR="00A64C50">
        <w:rPr>
          <w:b/>
          <w:bCs/>
          <w:rtl/>
        </w:rPr>
        <w:tab/>
      </w:r>
      <w:r w:rsidR="00A64C50">
        <w:rPr>
          <w:b/>
          <w:bCs/>
          <w:rtl/>
        </w:rPr>
        <w:tab/>
      </w:r>
      <w:r w:rsidR="00A64C50">
        <w:rPr>
          <w:rFonts w:hint="cs"/>
          <w:b/>
          <w:bCs/>
          <w:rtl/>
        </w:rPr>
        <w:t>עליזה לביא</w:t>
      </w:r>
      <w:r>
        <w:br/>
      </w:r>
      <w:r>
        <w:rPr>
          <w:rFonts w:hint="cs"/>
          <w:b/>
          <w:bCs/>
          <w:rtl/>
        </w:rPr>
        <w:t xml:space="preserve"> </w:t>
      </w:r>
      <w:r>
        <w:tab/>
      </w:r>
      <w:r>
        <w:tab/>
      </w:r>
      <w:r>
        <w:tab/>
      </w:r>
      <w:r>
        <w:tab/>
      </w:r>
      <w:r>
        <w:rPr>
          <w:rFonts w:hint="cs"/>
          <w:b/>
          <w:bCs/>
          <w:rtl/>
        </w:rPr>
        <w:t>מירב בן ארי</w:t>
      </w:r>
      <w:r w:rsidR="00A64C50" w:rsidRPr="00A64C50">
        <w:rPr>
          <w:rFonts w:hint="cs"/>
          <w:b/>
          <w:bCs/>
          <w:rtl/>
        </w:rPr>
        <w:t xml:space="preserve"> </w:t>
      </w:r>
      <w:r w:rsidR="00A64C50">
        <w:rPr>
          <w:b/>
          <w:bCs/>
          <w:rtl/>
        </w:rPr>
        <w:tab/>
      </w:r>
      <w:r w:rsidR="00A64C50">
        <w:rPr>
          <w:b/>
          <w:bCs/>
          <w:rtl/>
        </w:rPr>
        <w:tab/>
      </w:r>
      <w:r w:rsidR="00A64C50">
        <w:rPr>
          <w:rFonts w:hint="cs"/>
          <w:b/>
          <w:bCs/>
          <w:rtl/>
        </w:rPr>
        <w:t>מיכל בירן</w:t>
      </w:r>
      <w:r>
        <w:br/>
      </w:r>
      <w:r>
        <w:rPr>
          <w:rFonts w:hint="cs"/>
          <w:b/>
          <w:bCs/>
          <w:rtl/>
        </w:rPr>
        <w:t xml:space="preserve"> </w:t>
      </w:r>
      <w:r>
        <w:tab/>
      </w:r>
      <w:r>
        <w:tab/>
      </w:r>
      <w:r>
        <w:tab/>
      </w:r>
      <w:r>
        <w:tab/>
      </w:r>
      <w:r>
        <w:rPr>
          <w:rFonts w:hint="cs"/>
          <w:b/>
          <w:bCs/>
          <w:rtl/>
        </w:rPr>
        <w:t>טלי פלוסקוב</w:t>
      </w:r>
      <w:r w:rsidR="00A64C50" w:rsidRPr="00A64C50">
        <w:rPr>
          <w:rFonts w:hint="cs"/>
          <w:b/>
          <w:bCs/>
          <w:rtl/>
        </w:rPr>
        <w:t xml:space="preserve"> </w:t>
      </w:r>
      <w:r w:rsidR="00A64C50">
        <w:rPr>
          <w:b/>
          <w:bCs/>
          <w:rtl/>
        </w:rPr>
        <w:tab/>
      </w:r>
      <w:r w:rsidR="00A64C50">
        <w:rPr>
          <w:b/>
          <w:bCs/>
          <w:rtl/>
        </w:rPr>
        <w:tab/>
      </w:r>
      <w:r w:rsidR="00A64C50">
        <w:rPr>
          <w:rFonts w:hint="cs"/>
          <w:b/>
          <w:bCs/>
          <w:rtl/>
        </w:rPr>
        <w:t>יעל גרמן</w:t>
      </w:r>
      <w:r>
        <w:br/>
      </w:r>
      <w:r>
        <w:rPr>
          <w:rFonts w:hint="cs"/>
          <w:b/>
          <w:bCs/>
          <w:rtl/>
        </w:rPr>
        <w:t xml:space="preserve"> </w:t>
      </w:r>
      <w:r>
        <w:tab/>
      </w:r>
      <w:r>
        <w:tab/>
      </w:r>
      <w:r>
        <w:tab/>
      </w:r>
      <w:r>
        <w:tab/>
      </w:r>
      <w:r>
        <w:rPr>
          <w:rFonts w:hint="cs"/>
          <w:b/>
          <w:bCs/>
          <w:rtl/>
        </w:rPr>
        <w:t>רועי פולקמן</w:t>
      </w:r>
      <w:r w:rsidR="00A64C50" w:rsidRPr="00A64C50">
        <w:rPr>
          <w:rFonts w:hint="cs"/>
          <w:b/>
          <w:bCs/>
          <w:rtl/>
        </w:rPr>
        <w:t xml:space="preserve"> </w:t>
      </w:r>
      <w:r w:rsidR="00A64C50">
        <w:rPr>
          <w:b/>
          <w:bCs/>
          <w:rtl/>
        </w:rPr>
        <w:tab/>
      </w:r>
      <w:r w:rsidR="00A64C50">
        <w:rPr>
          <w:b/>
          <w:bCs/>
          <w:rtl/>
        </w:rPr>
        <w:tab/>
      </w:r>
      <w:r w:rsidR="00A64C50">
        <w:rPr>
          <w:rFonts w:hint="cs"/>
          <w:b/>
          <w:bCs/>
          <w:rtl/>
        </w:rPr>
        <w:t>קארין אלהרר</w:t>
      </w:r>
      <w:r>
        <w:br/>
      </w:r>
      <w:r>
        <w:rPr>
          <w:rFonts w:hint="cs"/>
          <w:b/>
          <w:bCs/>
          <w:rtl/>
        </w:rPr>
        <w:t xml:space="preserve"> </w:t>
      </w:r>
      <w:r>
        <w:tab/>
      </w:r>
      <w:r>
        <w:tab/>
      </w:r>
      <w:r>
        <w:tab/>
      </w:r>
      <w:r>
        <w:tab/>
      </w:r>
      <w:r>
        <w:rPr>
          <w:rFonts w:hint="cs"/>
          <w:b/>
          <w:bCs/>
          <w:rtl/>
        </w:rPr>
        <w:t>יעקב מרגי</w:t>
      </w:r>
      <w:r w:rsidR="00A64C50" w:rsidRPr="00A64C50">
        <w:rPr>
          <w:rFonts w:hint="cs"/>
          <w:b/>
          <w:bCs/>
          <w:rtl/>
        </w:rPr>
        <w:t xml:space="preserve"> </w:t>
      </w:r>
      <w:r w:rsidR="00A64C50">
        <w:rPr>
          <w:b/>
          <w:bCs/>
          <w:rtl/>
        </w:rPr>
        <w:tab/>
      </w:r>
      <w:r w:rsidR="00A64C50">
        <w:rPr>
          <w:b/>
          <w:bCs/>
          <w:rtl/>
        </w:rPr>
        <w:tab/>
      </w:r>
      <w:r w:rsidR="00A64C50">
        <w:rPr>
          <w:rFonts w:hint="cs"/>
          <w:b/>
          <w:bCs/>
          <w:rtl/>
        </w:rPr>
        <w:t>אברהם נגוסה</w:t>
      </w:r>
      <w:r>
        <w:br/>
      </w:r>
      <w:r>
        <w:rPr>
          <w:rFonts w:hint="cs"/>
          <w:b/>
          <w:bCs/>
          <w:rtl/>
        </w:rPr>
        <w:t xml:space="preserve"> </w:t>
      </w:r>
      <w:r>
        <w:tab/>
      </w:r>
      <w:r>
        <w:tab/>
      </w:r>
      <w:r>
        <w:tab/>
      </w:r>
      <w:r>
        <w:tab/>
      </w:r>
      <w:r>
        <w:rPr>
          <w:rFonts w:hint="cs"/>
          <w:b/>
          <w:bCs/>
          <w:rtl/>
        </w:rPr>
        <w:t>זהבה גלאון</w:t>
      </w:r>
      <w:r w:rsidR="00A64C50" w:rsidRPr="00A64C50">
        <w:rPr>
          <w:rFonts w:hint="cs"/>
          <w:b/>
          <w:bCs/>
          <w:rtl/>
        </w:rPr>
        <w:t xml:space="preserve"> </w:t>
      </w:r>
      <w:r w:rsidR="00A64C50">
        <w:rPr>
          <w:b/>
          <w:bCs/>
          <w:rtl/>
        </w:rPr>
        <w:tab/>
      </w:r>
      <w:r w:rsidR="00A64C50">
        <w:rPr>
          <w:b/>
          <w:bCs/>
          <w:rtl/>
        </w:rPr>
        <w:tab/>
      </w:r>
      <w:r w:rsidR="00A64C50">
        <w:rPr>
          <w:rFonts w:hint="cs"/>
          <w:b/>
          <w:bCs/>
          <w:rtl/>
        </w:rPr>
        <w:t>שולי מועלם-רפאלי</w:t>
      </w:r>
      <w:r>
        <w:br/>
      </w:r>
      <w:r>
        <w:rPr>
          <w:rFonts w:hint="cs"/>
          <w:b/>
          <w:bCs/>
          <w:rtl/>
        </w:rPr>
        <w:t xml:space="preserve"> </w:t>
      </w:r>
      <w:r>
        <w:tab/>
      </w:r>
      <w:r>
        <w:tab/>
      </w:r>
      <w:r>
        <w:tab/>
      </w:r>
      <w:r>
        <w:tab/>
      </w:r>
      <w:r>
        <w:rPr>
          <w:rFonts w:hint="cs"/>
          <w:b/>
          <w:bCs/>
          <w:rtl/>
        </w:rPr>
        <w:t>איילת נחמיאס ורבין</w:t>
      </w:r>
      <w:r w:rsidR="00A64C50" w:rsidRPr="00A64C50">
        <w:rPr>
          <w:rFonts w:hint="cs"/>
          <w:b/>
          <w:bCs/>
          <w:rtl/>
        </w:rPr>
        <w:t xml:space="preserve"> </w:t>
      </w:r>
      <w:r w:rsidR="00A64C50">
        <w:rPr>
          <w:b/>
          <w:bCs/>
          <w:rtl/>
        </w:rPr>
        <w:tab/>
      </w:r>
      <w:r w:rsidR="00A64C50">
        <w:rPr>
          <w:rFonts w:hint="cs"/>
          <w:b/>
          <w:bCs/>
          <w:rtl/>
        </w:rPr>
        <w:t>שלי יחימוביץ'</w:t>
      </w:r>
      <w:r>
        <w:br/>
      </w:r>
      <w:r>
        <w:rPr>
          <w:rFonts w:hint="cs"/>
          <w:b/>
          <w:bCs/>
          <w:rtl/>
        </w:rPr>
        <w:t xml:space="preserve"> </w:t>
      </w:r>
      <w:r>
        <w:tab/>
      </w:r>
      <w:r>
        <w:tab/>
      </w:r>
      <w:r>
        <w:tab/>
      </w:r>
      <w:r>
        <w:tab/>
      </w:r>
      <w:r>
        <w:rPr>
          <w:rFonts w:hint="cs"/>
          <w:b/>
          <w:bCs/>
          <w:rtl/>
        </w:rPr>
        <w:t>קסניה סבטלובה</w:t>
      </w:r>
      <w:r w:rsidR="00A64C50" w:rsidRPr="00A64C50">
        <w:rPr>
          <w:rFonts w:hint="cs"/>
          <w:b/>
          <w:bCs/>
          <w:rtl/>
        </w:rPr>
        <w:t xml:space="preserve"> </w:t>
      </w:r>
      <w:r w:rsidR="00A64C50">
        <w:rPr>
          <w:b/>
          <w:bCs/>
          <w:rtl/>
        </w:rPr>
        <w:tab/>
      </w:r>
      <w:r w:rsidR="00A64C50">
        <w:rPr>
          <w:rFonts w:hint="cs"/>
          <w:b/>
          <w:bCs/>
          <w:rtl/>
        </w:rPr>
        <w:t>אוסאמה סעדי</w:t>
      </w:r>
      <w:r>
        <w:br/>
      </w:r>
      <w:r>
        <w:rPr>
          <w:rFonts w:hint="cs"/>
          <w:b/>
          <w:bCs/>
          <w:rtl/>
        </w:rPr>
        <w:t xml:space="preserve"> </w:t>
      </w:r>
      <w:r>
        <w:tab/>
      </w:r>
      <w:r>
        <w:tab/>
      </w:r>
      <w:r>
        <w:tab/>
      </w:r>
      <w:r>
        <w:tab/>
      </w:r>
      <w:r>
        <w:rPr>
          <w:rFonts w:hint="cs"/>
          <w:b/>
          <w:bCs/>
          <w:rtl/>
        </w:rPr>
        <w:t>מיקי לוי</w:t>
      </w:r>
      <w:r w:rsidR="00A64C50" w:rsidRPr="00A64C50">
        <w:rPr>
          <w:rFonts w:hint="cs"/>
          <w:b/>
          <w:bCs/>
          <w:rtl/>
        </w:rPr>
        <w:t xml:space="preserve"> </w:t>
      </w:r>
      <w:r w:rsidR="00A64C50">
        <w:rPr>
          <w:b/>
          <w:bCs/>
          <w:rtl/>
        </w:rPr>
        <w:tab/>
      </w:r>
      <w:r w:rsidR="00A64C50">
        <w:rPr>
          <w:b/>
          <w:bCs/>
          <w:rtl/>
        </w:rPr>
        <w:tab/>
      </w:r>
      <w:r w:rsidR="00A64C50">
        <w:rPr>
          <w:rFonts w:hint="cs"/>
          <w:b/>
          <w:bCs/>
          <w:rtl/>
        </w:rPr>
        <w:t>יפעת שאשא ביטון</w:t>
      </w:r>
      <w:r>
        <w:br/>
      </w:r>
      <w:r>
        <w:rPr>
          <w:rFonts w:hint="cs"/>
          <w:b/>
          <w:bCs/>
          <w:rtl/>
        </w:rPr>
        <w:t xml:space="preserve"> </w:t>
      </w:r>
      <w:r>
        <w:tab/>
      </w:r>
      <w:r>
        <w:tab/>
      </w:r>
      <w:r>
        <w:tab/>
      </w:r>
      <w:r>
        <w:tab/>
      </w:r>
      <w:r>
        <w:rPr>
          <w:rFonts w:hint="cs"/>
          <w:b/>
          <w:bCs/>
          <w:rtl/>
        </w:rPr>
        <w:t>איתן כבל</w:t>
      </w:r>
      <w:r w:rsidR="00A64C50" w:rsidRPr="00A64C50">
        <w:rPr>
          <w:rFonts w:hint="cs"/>
          <w:b/>
          <w:bCs/>
          <w:rtl/>
        </w:rPr>
        <w:t xml:space="preserve"> </w:t>
      </w:r>
      <w:r w:rsidR="00A64C50">
        <w:rPr>
          <w:b/>
          <w:bCs/>
          <w:rtl/>
        </w:rPr>
        <w:tab/>
      </w:r>
      <w:r w:rsidR="00A64C50">
        <w:rPr>
          <w:b/>
          <w:bCs/>
          <w:rtl/>
        </w:rPr>
        <w:tab/>
      </w:r>
      <w:r w:rsidR="00A64C50">
        <w:rPr>
          <w:rFonts w:hint="cs"/>
          <w:b/>
          <w:bCs/>
          <w:rtl/>
        </w:rPr>
        <w:t>אילן גילאון</w:t>
      </w:r>
      <w:r>
        <w:br/>
      </w:r>
      <w:r>
        <w:rPr>
          <w:rFonts w:hint="cs"/>
          <w:b/>
          <w:bCs/>
          <w:rtl/>
        </w:rPr>
        <w:t xml:space="preserve"> </w:t>
      </w:r>
      <w:r>
        <w:tab/>
      </w:r>
      <w:r>
        <w:tab/>
      </w:r>
      <w:r>
        <w:tab/>
      </w:r>
      <w:r>
        <w:tab/>
      </w:r>
      <w:r>
        <w:rPr>
          <w:rFonts w:hint="cs"/>
          <w:b/>
          <w:bCs/>
          <w:rtl/>
        </w:rPr>
        <w:t>אלי אלאלוף</w:t>
      </w:r>
      <w:r w:rsidR="00A64C50" w:rsidRPr="00A64C50">
        <w:rPr>
          <w:rFonts w:hint="cs"/>
          <w:b/>
          <w:bCs/>
          <w:rtl/>
        </w:rPr>
        <w:t xml:space="preserve"> </w:t>
      </w:r>
      <w:r w:rsidR="00A64C50">
        <w:rPr>
          <w:b/>
          <w:bCs/>
          <w:rtl/>
        </w:rPr>
        <w:tab/>
      </w:r>
      <w:r w:rsidR="00A64C50">
        <w:rPr>
          <w:b/>
          <w:bCs/>
          <w:rtl/>
        </w:rPr>
        <w:tab/>
      </w:r>
      <w:r w:rsidR="00A64C50">
        <w:rPr>
          <w:rFonts w:hint="cs"/>
          <w:b/>
          <w:bCs/>
          <w:rtl/>
        </w:rPr>
        <w:t>דב חנין</w:t>
      </w:r>
      <w:r>
        <w:br/>
      </w:r>
      <w:r>
        <w:rPr>
          <w:rFonts w:hint="cs"/>
          <w:b/>
          <w:bCs/>
          <w:rtl/>
        </w:rPr>
        <w:t xml:space="preserve"> </w:t>
      </w:r>
      <w:r>
        <w:tab/>
      </w:r>
      <w:r>
        <w:tab/>
      </w:r>
      <w:r>
        <w:tab/>
      </w:r>
      <w:r>
        <w:tab/>
      </w:r>
      <w:r>
        <w:rPr>
          <w:rFonts w:hint="cs"/>
          <w:b/>
          <w:bCs/>
          <w:rtl/>
        </w:rPr>
        <w:t>יואל חסון</w:t>
      </w:r>
      <w:r w:rsidR="00A64C50" w:rsidRPr="00A64C50">
        <w:rPr>
          <w:rFonts w:hint="cs"/>
          <w:b/>
          <w:bCs/>
          <w:rtl/>
        </w:rPr>
        <w:t xml:space="preserve"> </w:t>
      </w:r>
      <w:r w:rsidR="00A64C50">
        <w:rPr>
          <w:b/>
          <w:bCs/>
          <w:rtl/>
        </w:rPr>
        <w:tab/>
      </w:r>
      <w:r w:rsidR="00A64C50">
        <w:rPr>
          <w:b/>
          <w:bCs/>
          <w:rtl/>
        </w:rPr>
        <w:tab/>
      </w:r>
      <w:r w:rsidR="00A64C50">
        <w:rPr>
          <w:rFonts w:hint="cs"/>
          <w:b/>
          <w:bCs/>
          <w:rtl/>
        </w:rPr>
        <w:t>יוסף ג'בארין</w:t>
      </w:r>
      <w:r>
        <w:br/>
      </w:r>
      <w:r>
        <w:rPr>
          <w:rFonts w:hint="cs"/>
          <w:b/>
          <w:bCs/>
          <w:rtl/>
        </w:rPr>
        <w:t xml:space="preserve"> </w:t>
      </w:r>
      <w:r>
        <w:tab/>
      </w:r>
      <w:r>
        <w:tab/>
      </w:r>
      <w:r>
        <w:tab/>
      </w:r>
      <w:r>
        <w:tab/>
      </w:r>
      <w:r>
        <w:rPr>
          <w:rFonts w:hint="cs"/>
          <w:b/>
          <w:bCs/>
          <w:rtl/>
        </w:rPr>
        <w:t>דוד ביטן</w:t>
      </w:r>
      <w:r w:rsidR="00A64C50" w:rsidRPr="00A64C50">
        <w:rPr>
          <w:rFonts w:hint="cs"/>
          <w:b/>
          <w:bCs/>
          <w:rtl/>
        </w:rPr>
        <w:t xml:space="preserve"> </w:t>
      </w:r>
      <w:r w:rsidR="00A64C50">
        <w:rPr>
          <w:b/>
          <w:bCs/>
          <w:rtl/>
        </w:rPr>
        <w:tab/>
      </w:r>
      <w:r w:rsidR="00A64C50">
        <w:rPr>
          <w:b/>
          <w:bCs/>
          <w:rtl/>
        </w:rPr>
        <w:tab/>
      </w:r>
      <w:r w:rsidR="00A64C50">
        <w:rPr>
          <w:rFonts w:hint="cs"/>
          <w:b/>
          <w:bCs/>
          <w:rtl/>
        </w:rPr>
        <w:t>איתן ברושי</w:t>
      </w:r>
      <w:r>
        <w:br/>
      </w:r>
      <w:r>
        <w:rPr>
          <w:rFonts w:hint="cs"/>
          <w:b/>
          <w:bCs/>
          <w:rtl/>
        </w:rPr>
        <w:t xml:space="preserve"> </w:t>
      </w:r>
      <w:r>
        <w:tab/>
      </w:r>
      <w:r>
        <w:tab/>
      </w:r>
      <w:r>
        <w:tab/>
      </w:r>
      <w:r>
        <w:tab/>
      </w:r>
      <w:r>
        <w:rPr>
          <w:rFonts w:hint="cs"/>
          <w:b/>
          <w:bCs/>
          <w:rtl/>
        </w:rPr>
        <w:t>איציק שמולי</w:t>
      </w:r>
      <w:r w:rsidR="00A64C50" w:rsidRPr="00A64C50">
        <w:rPr>
          <w:rFonts w:hint="cs"/>
          <w:b/>
          <w:bCs/>
          <w:rtl/>
        </w:rPr>
        <w:t xml:space="preserve"> </w:t>
      </w:r>
      <w:r w:rsidR="00A64C50">
        <w:rPr>
          <w:b/>
          <w:bCs/>
          <w:rtl/>
        </w:rPr>
        <w:tab/>
      </w:r>
      <w:r w:rsidR="00A64C50">
        <w:rPr>
          <w:b/>
          <w:bCs/>
          <w:rtl/>
        </w:rPr>
        <w:tab/>
      </w:r>
      <w:r w:rsidR="00A64C50">
        <w:rPr>
          <w:rFonts w:hint="cs"/>
          <w:b/>
          <w:bCs/>
          <w:rtl/>
        </w:rPr>
        <w:t>יחיאל חיליק בר</w:t>
      </w:r>
      <w:r>
        <w:br/>
      </w:r>
      <w:r>
        <w:rPr>
          <w:rFonts w:hint="cs"/>
          <w:b/>
          <w:bCs/>
          <w:rtl/>
        </w:rPr>
        <w:t xml:space="preserve"> </w:t>
      </w:r>
      <w:r>
        <w:tab/>
      </w:r>
      <w:r>
        <w:tab/>
      </w:r>
      <w:r>
        <w:tab/>
      </w:r>
      <w:r>
        <w:tab/>
      </w:r>
      <w:r>
        <w:rPr>
          <w:rFonts w:hint="cs"/>
          <w:b/>
          <w:bCs/>
          <w:rtl/>
        </w:rPr>
        <w:t>רחל עזריה</w:t>
      </w:r>
      <w:r w:rsidR="00A64C50" w:rsidRPr="00A64C50">
        <w:rPr>
          <w:rFonts w:hint="cs"/>
          <w:b/>
          <w:bCs/>
          <w:rtl/>
        </w:rPr>
        <w:t xml:space="preserve"> </w:t>
      </w:r>
      <w:r w:rsidR="00A64C50">
        <w:rPr>
          <w:b/>
          <w:bCs/>
          <w:rtl/>
        </w:rPr>
        <w:tab/>
      </w:r>
      <w:r w:rsidR="00A64C50">
        <w:rPr>
          <w:b/>
          <w:bCs/>
          <w:rtl/>
        </w:rPr>
        <w:tab/>
      </w:r>
      <w:r w:rsidR="00A64C50">
        <w:rPr>
          <w:rFonts w:hint="cs"/>
          <w:b/>
          <w:bCs/>
          <w:rtl/>
        </w:rPr>
        <w:t>אראל מרגלית</w:t>
      </w:r>
      <w:r>
        <w:br/>
      </w:r>
      <w:r>
        <w:rPr>
          <w:rFonts w:hint="cs"/>
          <w:b/>
          <w:bCs/>
          <w:rtl/>
        </w:rPr>
        <w:t xml:space="preserve"> </w:t>
      </w:r>
      <w:r>
        <w:tab/>
      </w:r>
      <w:r>
        <w:tab/>
      </w:r>
      <w:r>
        <w:tab/>
      </w:r>
      <w:r>
        <w:tab/>
      </w:r>
      <w:r>
        <w:rPr>
          <w:rFonts w:hint="cs"/>
          <w:b/>
          <w:bCs/>
          <w:rtl/>
        </w:rPr>
        <w:t>מכלוף מיקי זוהר</w:t>
      </w:r>
      <w:r w:rsidR="00A64C50" w:rsidRPr="00A64C50">
        <w:rPr>
          <w:rFonts w:hint="cs"/>
          <w:b/>
          <w:bCs/>
          <w:rtl/>
        </w:rPr>
        <w:t xml:space="preserve"> </w:t>
      </w:r>
      <w:r w:rsidR="00A64C50">
        <w:rPr>
          <w:b/>
          <w:bCs/>
          <w:rtl/>
        </w:rPr>
        <w:tab/>
      </w:r>
      <w:r w:rsidR="00A64C50">
        <w:rPr>
          <w:rFonts w:hint="cs"/>
          <w:b/>
          <w:bCs/>
          <w:rtl/>
        </w:rPr>
        <w:t>איל בן ראובן</w:t>
      </w:r>
      <w:r>
        <w:br/>
      </w:r>
      <w:r>
        <w:rPr>
          <w:rFonts w:hint="cs"/>
          <w:b/>
          <w:bCs/>
          <w:rtl/>
        </w:rPr>
        <w:t xml:space="preserve"> </w:t>
      </w:r>
      <w:r>
        <w:tab/>
      </w:r>
      <w:r>
        <w:tab/>
      </w:r>
      <w:r>
        <w:tab/>
      </w:r>
      <w:r>
        <w:tab/>
      </w:r>
      <w:r>
        <w:rPr>
          <w:rFonts w:hint="cs"/>
          <w:b/>
          <w:bCs/>
          <w:rtl/>
        </w:rPr>
        <w:t>עודד פורר</w:t>
      </w:r>
      <w:r w:rsidR="00A64C50" w:rsidRPr="00A64C50">
        <w:rPr>
          <w:rFonts w:hint="cs"/>
          <w:b/>
          <w:bCs/>
          <w:rtl/>
        </w:rPr>
        <w:t xml:space="preserve"> </w:t>
      </w:r>
      <w:r w:rsidR="00A64C50">
        <w:rPr>
          <w:b/>
          <w:bCs/>
          <w:rtl/>
        </w:rPr>
        <w:tab/>
      </w:r>
      <w:r w:rsidR="00A64C50">
        <w:rPr>
          <w:b/>
          <w:bCs/>
          <w:rtl/>
        </w:rPr>
        <w:tab/>
      </w:r>
      <w:r w:rsidR="00A64C50">
        <w:rPr>
          <w:rFonts w:hint="cs"/>
          <w:b/>
          <w:bCs/>
          <w:rtl/>
        </w:rPr>
        <w:t>יעל כהן-פארן</w:t>
      </w:r>
      <w:r>
        <w:br/>
      </w:r>
      <w:r>
        <w:rPr>
          <w:rFonts w:hint="cs"/>
          <w:b/>
          <w:bCs/>
          <w:rtl/>
        </w:rPr>
        <w:t xml:space="preserve"> </w:t>
      </w:r>
      <w:r>
        <w:tab/>
      </w:r>
      <w:r>
        <w:tab/>
      </w:r>
      <w:r>
        <w:tab/>
      </w:r>
      <w:r>
        <w:tab/>
      </w:r>
      <w:r>
        <w:rPr>
          <w:rFonts w:hint="cs"/>
          <w:b/>
          <w:bCs/>
          <w:rtl/>
        </w:rPr>
        <w:t>רוברט אילטוב</w:t>
      </w:r>
      <w:r w:rsidR="00A64C50" w:rsidRPr="00A64C50">
        <w:rPr>
          <w:rFonts w:hint="cs"/>
          <w:b/>
          <w:bCs/>
          <w:rtl/>
        </w:rPr>
        <w:t xml:space="preserve"> </w:t>
      </w:r>
      <w:r w:rsidR="00A64C50">
        <w:rPr>
          <w:b/>
          <w:bCs/>
          <w:rtl/>
        </w:rPr>
        <w:tab/>
      </w:r>
      <w:r w:rsidR="00A64C50">
        <w:rPr>
          <w:b/>
          <w:bCs/>
          <w:rtl/>
        </w:rPr>
        <w:tab/>
      </w:r>
      <w:r w:rsidR="00A64C50">
        <w:rPr>
          <w:rFonts w:hint="cs"/>
          <w:b/>
          <w:bCs/>
          <w:rtl/>
        </w:rPr>
        <w:t>עפר שלח</w:t>
      </w:r>
      <w:r>
        <w:br/>
      </w:r>
      <w:r>
        <w:rPr>
          <w:rFonts w:hint="cs"/>
          <w:b/>
          <w:bCs/>
          <w:rtl/>
        </w:rPr>
        <w:t xml:space="preserve"> </w:t>
      </w:r>
      <w:r>
        <w:tab/>
      </w:r>
      <w:r>
        <w:tab/>
      </w:r>
      <w:r>
        <w:tab/>
      </w:r>
      <w:r>
        <w:tab/>
      </w:r>
      <w:r>
        <w:rPr>
          <w:rFonts w:hint="cs"/>
          <w:b/>
          <w:bCs/>
          <w:rtl/>
        </w:rPr>
        <w:t>סופה לנדבר</w:t>
      </w:r>
      <w:r w:rsidR="00A64C50" w:rsidRPr="00A64C50">
        <w:rPr>
          <w:rFonts w:hint="cs"/>
          <w:b/>
          <w:bCs/>
          <w:rtl/>
        </w:rPr>
        <w:t xml:space="preserve"> </w:t>
      </w:r>
      <w:r w:rsidR="00A64C50">
        <w:rPr>
          <w:b/>
          <w:bCs/>
          <w:rtl/>
        </w:rPr>
        <w:tab/>
      </w:r>
      <w:r w:rsidR="00A64C50">
        <w:rPr>
          <w:b/>
          <w:bCs/>
          <w:rtl/>
        </w:rPr>
        <w:tab/>
      </w:r>
      <w:r w:rsidR="00A64C50">
        <w:rPr>
          <w:rFonts w:hint="cs"/>
          <w:b/>
          <w:bCs/>
          <w:rtl/>
        </w:rPr>
        <w:t>אורי מקלב</w:t>
      </w:r>
      <w:r>
        <w:br/>
      </w:r>
      <w:r>
        <w:rPr>
          <w:rFonts w:hint="cs"/>
          <w:b/>
          <w:bCs/>
          <w:rtl/>
        </w:rPr>
        <w:t xml:space="preserve"> </w:t>
      </w:r>
      <w:r>
        <w:tab/>
      </w:r>
      <w:r>
        <w:tab/>
      </w:r>
      <w:r>
        <w:tab/>
      </w:r>
      <w:r>
        <w:tab/>
      </w:r>
      <w:r>
        <w:rPr>
          <w:rFonts w:hint="cs"/>
          <w:b/>
          <w:bCs/>
          <w:rtl/>
        </w:rPr>
        <w:t>עאידה תומא סלימאן</w:t>
      </w:r>
      <w:r w:rsidR="00A64C50" w:rsidRPr="00A64C50">
        <w:rPr>
          <w:rFonts w:hint="cs"/>
          <w:b/>
          <w:bCs/>
          <w:rtl/>
        </w:rPr>
        <w:t xml:space="preserve"> </w:t>
      </w:r>
      <w:r w:rsidR="00A64C50">
        <w:rPr>
          <w:b/>
          <w:bCs/>
          <w:rtl/>
        </w:rPr>
        <w:tab/>
      </w:r>
      <w:r w:rsidR="00A64C50">
        <w:rPr>
          <w:rFonts w:hint="cs"/>
          <w:b/>
          <w:bCs/>
          <w:rtl/>
        </w:rPr>
        <w:t>יוסי יונה</w:t>
      </w:r>
      <w:r>
        <w:br/>
      </w:r>
      <w:r>
        <w:rPr>
          <w:rFonts w:hint="cs"/>
          <w:b/>
          <w:bCs/>
          <w:rtl/>
        </w:rPr>
        <w:t xml:space="preserve"> </w:t>
      </w:r>
      <w:r>
        <w:tab/>
      </w:r>
      <w:r>
        <w:tab/>
      </w:r>
      <w:r>
        <w:tab/>
      </w:r>
      <w:r>
        <w:tab/>
      </w:r>
      <w:r>
        <w:rPr>
          <w:rFonts w:hint="cs"/>
          <w:b/>
          <w:bCs/>
          <w:rtl/>
        </w:rPr>
        <w:t xml:space="preserve">מיכל רוזין </w:t>
      </w:r>
      <w:r>
        <w:tab/>
      </w:r>
      <w:r>
        <w:tab/>
      </w:r>
      <w:r>
        <w:tab/>
      </w:r>
      <w:r>
        <w:tab/>
      </w:r>
      <w:bookmarkEnd w:id="3"/>
      <w:r w:rsidR="00266D86">
        <w:t>____</w:t>
      </w:r>
      <w:r w:rsidR="00E374F2">
        <w:t>__</w:t>
      </w:r>
      <w:r w:rsidR="00266D86">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B" w14:textId="256138AA" w:rsidR="00E13C27" w:rsidRPr="00E06736" w:rsidRDefault="00904591" w:rsidP="00904591">
      <w:pPr>
        <w:pStyle w:val="David"/>
        <w:spacing w:before="0" w:line="240" w:lineRule="auto"/>
        <w:ind w:left="3544"/>
        <w:rPr>
          <w:rtl/>
        </w:rPr>
      </w:pPr>
      <w:r>
        <w:t xml:space="preserve">                                            </w:t>
      </w:r>
      <w:r w:rsidR="008F1308">
        <w:t xml:space="preserve"> </w:t>
      </w:r>
      <w:bookmarkStart w:id="4" w:name="Private_Number"/>
      <w:r>
        <w:rPr>
          <w:rFonts w:hint="cs"/>
          <w:rtl/>
        </w:rPr>
        <w:t>פ/2825/20</w:t>
      </w:r>
      <w:bookmarkEnd w:id="4"/>
    </w:p>
    <w:p w14:paraId="7F6961AC" w14:textId="77777777" w:rsidR="00E13C27" w:rsidRDefault="00E13C27" w:rsidP="00E13C27">
      <w:pPr>
        <w:spacing w:before="0" w:line="360" w:lineRule="auto"/>
        <w:ind w:left="2880" w:firstLine="720"/>
        <w:rPr>
          <w:rFonts w:cs="David"/>
          <w:sz w:val="26"/>
          <w:szCs w:val="26"/>
          <w:rtl/>
        </w:rPr>
      </w:pPr>
    </w:p>
    <w:p w14:paraId="7F6961AD" w14:textId="4FC6606F" w:rsidR="00E13C27" w:rsidRPr="00F67051" w:rsidRDefault="00A443CF" w:rsidP="009E1EE8">
      <w:pPr>
        <w:pStyle w:val="HeadHatzaotHok"/>
        <w:rPr>
          <w:rtl/>
        </w:rPr>
      </w:pPr>
      <w:bookmarkStart w:id="5" w:name="LGS_Subject"/>
      <w:r>
        <w:rPr>
          <w:rFonts w:hint="cs"/>
          <w:rtl/>
        </w:rPr>
        <w:t xml:space="preserve">הצעת חוק הגבלת משקל בתעשיית הדוגמנות (תיקון </w:t>
      </w:r>
      <w:r w:rsidR="009E1EE8">
        <w:rPr>
          <w:rFonts w:hint="eastAsia"/>
          <w:rtl/>
        </w:rPr>
        <w:t>–</w:t>
      </w:r>
      <w:r>
        <w:rPr>
          <w:rFonts w:hint="cs"/>
          <w:rtl/>
        </w:rPr>
        <w:t xml:space="preserve"> הוראות שונות), התשע"ו</w:t>
      </w:r>
      <w:r w:rsidR="009E1EE8">
        <w:rPr>
          <w:rFonts w:hint="eastAsia"/>
          <w:rtl/>
        </w:rPr>
        <w:t>–</w:t>
      </w:r>
      <w:bookmarkStart w:id="6" w:name="_GoBack"/>
      <w:bookmarkEnd w:id="6"/>
      <w:r>
        <w:rPr>
          <w:rFonts w:hint="cs"/>
          <w:rtl/>
        </w:rPr>
        <w:t>2016</w:t>
      </w:r>
      <w:bookmarkEnd w:id="5"/>
    </w:p>
    <w:p w14:paraId="7F6961AE" w14:textId="77777777" w:rsidR="00E13C27" w:rsidRDefault="00E13C27" w:rsidP="0021633A">
      <w:pPr>
        <w:pStyle w:val="HeadDivreiHesber"/>
        <w:spacing w:before="0" w:after="0"/>
        <w:rPr>
          <w:rtl/>
        </w:rPr>
      </w:pPr>
    </w:p>
    <w:tbl>
      <w:tblPr>
        <w:bidiVisual/>
        <w:tblW w:w="9636" w:type="dxa"/>
        <w:tblLayout w:type="fixed"/>
        <w:tblCellMar>
          <w:top w:w="57" w:type="dxa"/>
          <w:left w:w="0" w:type="dxa"/>
          <w:bottom w:w="57" w:type="dxa"/>
          <w:right w:w="0" w:type="dxa"/>
        </w:tblCellMar>
        <w:tblLook w:val="01E0" w:firstRow="1" w:lastRow="1" w:firstColumn="1" w:lastColumn="1" w:noHBand="0" w:noVBand="0"/>
      </w:tblPr>
      <w:tblGrid>
        <w:gridCol w:w="1869"/>
        <w:gridCol w:w="624"/>
        <w:gridCol w:w="624"/>
        <w:gridCol w:w="1248"/>
        <w:gridCol w:w="624"/>
        <w:gridCol w:w="4647"/>
      </w:tblGrid>
      <w:tr w:rsidR="006C1FB3" w14:paraId="0F391035" w14:textId="77777777" w:rsidTr="00875968">
        <w:trPr>
          <w:cantSplit/>
        </w:trPr>
        <w:tc>
          <w:tcPr>
            <w:tcW w:w="1869" w:type="dxa"/>
          </w:tcPr>
          <w:p w14:paraId="0C6DEFF4" w14:textId="630DFD6A" w:rsidR="006C1FB3" w:rsidRDefault="006C1FB3" w:rsidP="00F90375">
            <w:pPr>
              <w:pStyle w:val="TableSideHeading"/>
              <w:keepLines w:val="0"/>
            </w:pPr>
            <w:r>
              <w:rPr>
                <w:rFonts w:hint="cs"/>
                <w:rtl/>
              </w:rPr>
              <w:t>תיקון</w:t>
            </w:r>
            <w:r>
              <w:rPr>
                <w:rtl/>
              </w:rPr>
              <w:t xml:space="preserve"> סעיף </w:t>
            </w:r>
            <w:r w:rsidR="00F90375">
              <w:rPr>
                <w:rFonts w:hint="cs"/>
                <w:rtl/>
              </w:rPr>
              <w:t>2</w:t>
            </w:r>
          </w:p>
        </w:tc>
        <w:tc>
          <w:tcPr>
            <w:tcW w:w="624" w:type="dxa"/>
          </w:tcPr>
          <w:p w14:paraId="709B13E4" w14:textId="77777777" w:rsidR="006C1FB3" w:rsidRDefault="006C1FB3" w:rsidP="00542458">
            <w:pPr>
              <w:pStyle w:val="TableText"/>
              <w:keepLines w:val="0"/>
            </w:pPr>
            <w:r>
              <w:rPr>
                <w:color w:val="auto"/>
                <w:sz w:val="26"/>
                <w:rtl/>
              </w:rPr>
              <w:t xml:space="preserve">1. </w:t>
            </w:r>
          </w:p>
        </w:tc>
        <w:tc>
          <w:tcPr>
            <w:tcW w:w="7143" w:type="dxa"/>
            <w:gridSpan w:val="4"/>
          </w:tcPr>
          <w:p w14:paraId="08571123" w14:textId="670CDD66" w:rsidR="006C1FB3" w:rsidRPr="00A64C50" w:rsidRDefault="006C1FB3" w:rsidP="00A64C50">
            <w:pPr>
              <w:pStyle w:val="TableBlock"/>
            </w:pPr>
            <w:r w:rsidRPr="00A64C50">
              <w:rPr>
                <w:rtl/>
              </w:rPr>
              <w:t>בחוק הגבלת משקל בתעשיית הדוגמנות, התשע"ב</w:t>
            </w:r>
            <w:r w:rsidR="007D300B" w:rsidRPr="00A64C50">
              <w:rPr>
                <w:rFonts w:hint="cs"/>
                <w:rtl/>
              </w:rPr>
              <w:t>–</w:t>
            </w:r>
            <w:r w:rsidRPr="00A64C50">
              <w:rPr>
                <w:rtl/>
              </w:rPr>
              <w:t>2012</w:t>
            </w:r>
            <w:r w:rsidRPr="00A64C50">
              <w:rPr>
                <w:rStyle w:val="a6"/>
                <w:rtl/>
              </w:rPr>
              <w:footnoteReference w:id="2"/>
            </w:r>
            <w:r w:rsidR="00A64C50" w:rsidRPr="00A64C50">
              <w:rPr>
                <w:rFonts w:hint="cs"/>
                <w:rtl/>
              </w:rPr>
              <w:t xml:space="preserve"> (להלן </w:t>
            </w:r>
            <w:r w:rsidR="00A64C50" w:rsidRPr="00A64C50">
              <w:rPr>
                <w:rFonts w:hint="eastAsia"/>
                <w:rtl/>
              </w:rPr>
              <w:t>–</w:t>
            </w:r>
            <w:r w:rsidR="00A64C50" w:rsidRPr="00A64C50">
              <w:rPr>
                <w:rFonts w:hint="cs"/>
                <w:rtl/>
              </w:rPr>
              <w:t xml:space="preserve"> </w:t>
            </w:r>
            <w:r w:rsidR="00A64C50" w:rsidRPr="00A64C50">
              <w:rPr>
                <w:rFonts w:hint="eastAsia"/>
                <w:rtl/>
              </w:rPr>
              <w:t>החוק העיקרי</w:t>
            </w:r>
            <w:r w:rsidR="00A64C50" w:rsidRPr="00A64C50">
              <w:rPr>
                <w:rFonts w:hint="cs"/>
                <w:rtl/>
              </w:rPr>
              <w:t>)</w:t>
            </w:r>
            <w:r w:rsidRPr="00A64C50">
              <w:rPr>
                <w:rtl/>
              </w:rPr>
              <w:t xml:space="preserve">, </w:t>
            </w:r>
            <w:r w:rsidRPr="00A64C50">
              <w:rPr>
                <w:rFonts w:hint="cs"/>
                <w:rtl/>
              </w:rPr>
              <w:t xml:space="preserve">בסעיף 2(א) </w:t>
            </w:r>
            <w:r w:rsidR="006544D3" w:rsidRPr="00A64C50">
              <w:rPr>
                <w:rFonts w:hint="cs"/>
                <w:rtl/>
              </w:rPr>
              <w:t>אחרי</w:t>
            </w:r>
            <w:r w:rsidR="00C94F97" w:rsidRPr="00A64C50">
              <w:rPr>
                <w:rtl/>
              </w:rPr>
              <w:t xml:space="preserve"> "לפי </w:t>
            </w:r>
            <w:r w:rsidR="00C94F97" w:rsidRPr="00A64C50">
              <w:rPr>
                <w:rFonts w:hint="eastAsia"/>
                <w:rtl/>
              </w:rPr>
              <w:t>בדיקה</w:t>
            </w:r>
            <w:r w:rsidR="00C94F97" w:rsidRPr="00A64C50">
              <w:rPr>
                <w:rtl/>
              </w:rPr>
              <w:t>" יבוא "שביצע".</w:t>
            </w:r>
            <w:r w:rsidRPr="00A64C50">
              <w:rPr>
                <w:rFonts w:hint="cs"/>
                <w:rtl/>
              </w:rPr>
              <w:t xml:space="preserve"> </w:t>
            </w:r>
          </w:p>
        </w:tc>
      </w:tr>
      <w:tr w:rsidR="007D300B" w14:paraId="4EB86137" w14:textId="77777777" w:rsidTr="00875968">
        <w:trPr>
          <w:cantSplit/>
        </w:trPr>
        <w:tc>
          <w:tcPr>
            <w:tcW w:w="1869" w:type="dxa"/>
          </w:tcPr>
          <w:p w14:paraId="4F21EB7C" w14:textId="573A51DA" w:rsidR="007D300B" w:rsidRDefault="000E59F4" w:rsidP="00A64C50">
            <w:pPr>
              <w:pStyle w:val="TableSideHeading"/>
            </w:pPr>
            <w:r>
              <w:rPr>
                <w:rFonts w:hint="cs"/>
                <w:rtl/>
              </w:rPr>
              <w:lastRenderedPageBreak/>
              <w:t>הוספת סעיפים 4א</w:t>
            </w:r>
            <w:r w:rsidR="00A64C50">
              <w:rPr>
                <w:rFonts w:hint="cs"/>
                <w:rtl/>
              </w:rPr>
              <w:t xml:space="preserve"> עד </w:t>
            </w:r>
            <w:r>
              <w:rPr>
                <w:rFonts w:hint="cs"/>
                <w:rtl/>
              </w:rPr>
              <w:t>4ד</w:t>
            </w:r>
          </w:p>
        </w:tc>
        <w:tc>
          <w:tcPr>
            <w:tcW w:w="624" w:type="dxa"/>
          </w:tcPr>
          <w:p w14:paraId="6353CDCF" w14:textId="0305DCF1" w:rsidR="007D300B" w:rsidRDefault="007D300B">
            <w:pPr>
              <w:pStyle w:val="TableText"/>
            </w:pPr>
            <w:r>
              <w:rPr>
                <w:rFonts w:hint="cs"/>
                <w:rtl/>
              </w:rPr>
              <w:t>2.</w:t>
            </w:r>
          </w:p>
        </w:tc>
        <w:tc>
          <w:tcPr>
            <w:tcW w:w="7143" w:type="dxa"/>
            <w:gridSpan w:val="4"/>
          </w:tcPr>
          <w:p w14:paraId="210B6F45" w14:textId="0300B01F" w:rsidR="007D300B" w:rsidRPr="00C34DE2" w:rsidRDefault="007D300B" w:rsidP="00875968">
            <w:pPr>
              <w:pStyle w:val="TableBlock"/>
            </w:pPr>
            <w:r>
              <w:rPr>
                <w:rFonts w:hint="cs"/>
                <w:rtl/>
              </w:rPr>
              <w:t xml:space="preserve">אחרי סעיף 4 לחוק </w:t>
            </w:r>
            <w:r w:rsidR="00A64C50">
              <w:rPr>
                <w:rFonts w:hint="cs"/>
                <w:rtl/>
              </w:rPr>
              <w:t xml:space="preserve">העיקרי </w:t>
            </w:r>
            <w:r>
              <w:rPr>
                <w:rFonts w:hint="cs"/>
                <w:rtl/>
              </w:rPr>
              <w:t>יבוא:</w:t>
            </w:r>
          </w:p>
        </w:tc>
      </w:tr>
      <w:tr w:rsidR="00A56DAD" w14:paraId="03DF45D5" w14:textId="77777777" w:rsidTr="00875968">
        <w:trPr>
          <w:cantSplit/>
        </w:trPr>
        <w:tc>
          <w:tcPr>
            <w:tcW w:w="1869" w:type="dxa"/>
          </w:tcPr>
          <w:p w14:paraId="293DAD53" w14:textId="1564B5E1" w:rsidR="00A56DAD" w:rsidRDefault="00A56DAD">
            <w:pPr>
              <w:pStyle w:val="TableSideHeading"/>
              <w:keepLines w:val="0"/>
            </w:pPr>
          </w:p>
        </w:tc>
        <w:tc>
          <w:tcPr>
            <w:tcW w:w="624" w:type="dxa"/>
          </w:tcPr>
          <w:p w14:paraId="3E2F0BC4" w14:textId="22D30B49" w:rsidR="00A56DAD" w:rsidRDefault="00A56DAD">
            <w:pPr>
              <w:pStyle w:val="TableText"/>
              <w:keepLines w:val="0"/>
            </w:pPr>
          </w:p>
        </w:tc>
        <w:tc>
          <w:tcPr>
            <w:tcW w:w="1872" w:type="dxa"/>
            <w:gridSpan w:val="2"/>
          </w:tcPr>
          <w:p w14:paraId="2DE3240A" w14:textId="3B3C725C" w:rsidR="00A56DAD" w:rsidRDefault="007D300B" w:rsidP="007D300B">
            <w:pPr>
              <w:pStyle w:val="TableInnerSideHeading"/>
            </w:pPr>
            <w:r>
              <w:rPr>
                <w:rFonts w:hint="cs"/>
                <w:rtl/>
              </w:rPr>
              <w:t>"</w:t>
            </w:r>
            <w:r w:rsidR="00A56DAD">
              <w:rPr>
                <w:rtl/>
              </w:rPr>
              <w:t xml:space="preserve">חובות תאגידים </w:t>
            </w:r>
            <w:r>
              <w:rPr>
                <w:rFonts w:hint="cs"/>
                <w:rtl/>
              </w:rPr>
              <w:t>שהוקמו בחוק</w:t>
            </w:r>
          </w:p>
        </w:tc>
        <w:tc>
          <w:tcPr>
            <w:tcW w:w="624" w:type="dxa"/>
          </w:tcPr>
          <w:p w14:paraId="7DEA5232" w14:textId="3D978743" w:rsidR="00A56DAD" w:rsidRDefault="00A56DAD">
            <w:pPr>
              <w:pStyle w:val="TableText"/>
            </w:pPr>
            <w:r>
              <w:rPr>
                <w:rFonts w:hint="cs"/>
                <w:rtl/>
              </w:rPr>
              <w:t>4א.</w:t>
            </w:r>
          </w:p>
        </w:tc>
        <w:tc>
          <w:tcPr>
            <w:tcW w:w="4647" w:type="dxa"/>
          </w:tcPr>
          <w:p w14:paraId="21603BB5" w14:textId="0BF8FF7C" w:rsidR="00A56DAD" w:rsidRDefault="000C49AD" w:rsidP="00875968">
            <w:pPr>
              <w:pStyle w:val="TableBlock"/>
            </w:pPr>
            <w:r>
              <w:rPr>
                <w:rFonts w:hint="cs"/>
                <w:rtl/>
              </w:rPr>
              <w:t xml:space="preserve">הוראות חוק זה יחולו גם על </w:t>
            </w:r>
            <w:r w:rsidR="007D300B">
              <w:rPr>
                <w:rFonts w:hint="cs"/>
                <w:rtl/>
              </w:rPr>
              <w:t>תאגיד שהוקם בחוק</w:t>
            </w:r>
            <w:r>
              <w:rPr>
                <w:rFonts w:hint="cs"/>
                <w:rtl/>
              </w:rPr>
              <w:t>.</w:t>
            </w:r>
          </w:p>
        </w:tc>
      </w:tr>
      <w:tr w:rsidR="006C1FB3" w14:paraId="0DB61839" w14:textId="77777777" w:rsidTr="00875968">
        <w:trPr>
          <w:cantSplit/>
        </w:trPr>
        <w:tc>
          <w:tcPr>
            <w:tcW w:w="1869" w:type="dxa"/>
          </w:tcPr>
          <w:p w14:paraId="29FDC524" w14:textId="5FB9BAF0" w:rsidR="006C1FB3" w:rsidRDefault="006C1FB3" w:rsidP="00671F9B">
            <w:pPr>
              <w:pStyle w:val="TableSideHeading"/>
              <w:keepLines w:val="0"/>
            </w:pPr>
          </w:p>
        </w:tc>
        <w:tc>
          <w:tcPr>
            <w:tcW w:w="624" w:type="dxa"/>
          </w:tcPr>
          <w:p w14:paraId="0780C2E2" w14:textId="73457F92" w:rsidR="006C1FB3" w:rsidRDefault="006C1FB3" w:rsidP="00542458">
            <w:pPr>
              <w:pStyle w:val="TableText"/>
              <w:keepLines w:val="0"/>
            </w:pPr>
          </w:p>
        </w:tc>
        <w:tc>
          <w:tcPr>
            <w:tcW w:w="1872" w:type="dxa"/>
            <w:gridSpan w:val="2"/>
          </w:tcPr>
          <w:p w14:paraId="71C1128B" w14:textId="6D7762EF" w:rsidR="006C1FB3" w:rsidRDefault="006C1FB3" w:rsidP="00542458">
            <w:pPr>
              <w:pStyle w:val="TableInnerSideHeading"/>
            </w:pPr>
            <w:r>
              <w:rPr>
                <w:rFonts w:hint="cs"/>
                <w:rtl/>
              </w:rPr>
              <w:t>עוולה אזרחית</w:t>
            </w:r>
          </w:p>
        </w:tc>
        <w:tc>
          <w:tcPr>
            <w:tcW w:w="624" w:type="dxa"/>
          </w:tcPr>
          <w:p w14:paraId="16F1526A" w14:textId="4C3C03F1" w:rsidR="006C1FB3" w:rsidRDefault="00671F9B" w:rsidP="00671F9B">
            <w:pPr>
              <w:pStyle w:val="TableText"/>
            </w:pPr>
            <w:r>
              <w:rPr>
                <w:rFonts w:hint="cs"/>
                <w:rtl/>
              </w:rPr>
              <w:t>4ב</w:t>
            </w:r>
            <w:r w:rsidR="006C1FB3">
              <w:rPr>
                <w:rFonts w:hint="cs"/>
                <w:rtl/>
              </w:rPr>
              <w:t>.</w:t>
            </w:r>
          </w:p>
        </w:tc>
        <w:tc>
          <w:tcPr>
            <w:tcW w:w="4647" w:type="dxa"/>
          </w:tcPr>
          <w:p w14:paraId="42F35FFC" w14:textId="3403D1CE" w:rsidR="006C1FB3" w:rsidRDefault="006C1FB3" w:rsidP="00875968">
            <w:pPr>
              <w:pStyle w:val="TableBlock"/>
            </w:pPr>
            <w:r w:rsidRPr="006F785C">
              <w:rPr>
                <w:rFonts w:hint="cs"/>
                <w:rtl/>
              </w:rPr>
              <w:t xml:space="preserve">הפרת </w:t>
            </w:r>
            <w:r w:rsidR="000C49AD">
              <w:rPr>
                <w:rFonts w:hint="cs"/>
                <w:rtl/>
              </w:rPr>
              <w:t xml:space="preserve">הוראה </w:t>
            </w:r>
            <w:r w:rsidRPr="006F785C">
              <w:rPr>
                <w:rFonts w:hint="cs"/>
                <w:rtl/>
              </w:rPr>
              <w:t>מהוראות סעיפים 2 ו-3 היא עוולה אזרחית, והוראות פקודת הנזיקין</w:t>
            </w:r>
            <w:r w:rsidR="00875968">
              <w:rPr>
                <w:rFonts w:hint="cs"/>
                <w:rtl/>
              </w:rPr>
              <w:t xml:space="preserve"> </w:t>
            </w:r>
            <w:r w:rsidRPr="006F785C">
              <w:rPr>
                <w:rFonts w:hint="cs"/>
                <w:rtl/>
              </w:rPr>
              <w:t>[נוסח חדש]</w:t>
            </w:r>
            <w:r w:rsidR="007D300B">
              <w:rPr>
                <w:rStyle w:val="a6"/>
                <w:rtl/>
              </w:rPr>
              <w:footnoteReference w:id="3"/>
            </w:r>
            <w:r w:rsidRPr="006F785C">
              <w:rPr>
                <w:rFonts w:hint="cs"/>
                <w:rtl/>
              </w:rPr>
              <w:t>, יחולו עליה</w:t>
            </w:r>
            <w:r w:rsidR="00671F9B">
              <w:rPr>
                <w:rFonts w:hint="cs"/>
                <w:rtl/>
              </w:rPr>
              <w:t>,</w:t>
            </w:r>
            <w:r w:rsidRPr="006F785C">
              <w:rPr>
                <w:rFonts w:hint="cs"/>
                <w:rtl/>
              </w:rPr>
              <w:t xml:space="preserve"> </w:t>
            </w:r>
            <w:r w:rsidR="00671F9B">
              <w:rPr>
                <w:rFonts w:hint="cs"/>
                <w:rtl/>
              </w:rPr>
              <w:t>בכפוף להוראות חוק זה</w:t>
            </w:r>
            <w:r w:rsidRPr="006F785C">
              <w:rPr>
                <w:rtl/>
              </w:rPr>
              <w:t>.</w:t>
            </w:r>
          </w:p>
        </w:tc>
      </w:tr>
      <w:tr w:rsidR="006C1FB3" w14:paraId="4C85D114" w14:textId="77777777" w:rsidTr="00875968">
        <w:trPr>
          <w:cantSplit/>
        </w:trPr>
        <w:tc>
          <w:tcPr>
            <w:tcW w:w="1869" w:type="dxa"/>
          </w:tcPr>
          <w:p w14:paraId="1DCBF5BC" w14:textId="09353626" w:rsidR="006C1FB3" w:rsidRDefault="006C1FB3" w:rsidP="00F018C3">
            <w:pPr>
              <w:pStyle w:val="TableSideHeading"/>
              <w:keepLines w:val="0"/>
            </w:pPr>
          </w:p>
        </w:tc>
        <w:tc>
          <w:tcPr>
            <w:tcW w:w="624" w:type="dxa"/>
          </w:tcPr>
          <w:p w14:paraId="349EFB86" w14:textId="7C01B4F3" w:rsidR="006C1FB3" w:rsidRDefault="006C1FB3" w:rsidP="00542458">
            <w:pPr>
              <w:pStyle w:val="TableText"/>
              <w:keepLines w:val="0"/>
            </w:pPr>
          </w:p>
        </w:tc>
        <w:tc>
          <w:tcPr>
            <w:tcW w:w="1872" w:type="dxa"/>
            <w:gridSpan w:val="2"/>
          </w:tcPr>
          <w:p w14:paraId="52240F6E" w14:textId="6887D525" w:rsidR="006C1FB3" w:rsidRDefault="00382E29" w:rsidP="00542458">
            <w:pPr>
              <w:pStyle w:val="TableInnerSideHeading"/>
            </w:pPr>
            <w:r>
              <w:rPr>
                <w:rFonts w:hint="cs"/>
                <w:rtl/>
              </w:rPr>
              <w:t>עונשין</w:t>
            </w:r>
          </w:p>
        </w:tc>
        <w:tc>
          <w:tcPr>
            <w:tcW w:w="624" w:type="dxa"/>
          </w:tcPr>
          <w:p w14:paraId="4C70E14D" w14:textId="3E08EAD9" w:rsidR="006C1FB3" w:rsidRDefault="00671F9B" w:rsidP="00671F9B">
            <w:pPr>
              <w:pStyle w:val="TableText"/>
            </w:pPr>
            <w:r>
              <w:rPr>
                <w:rFonts w:hint="cs"/>
                <w:rtl/>
              </w:rPr>
              <w:t>4ג</w:t>
            </w:r>
            <w:r w:rsidR="006C1FB3">
              <w:rPr>
                <w:rFonts w:hint="cs"/>
                <w:rtl/>
              </w:rPr>
              <w:t>.</w:t>
            </w:r>
          </w:p>
        </w:tc>
        <w:tc>
          <w:tcPr>
            <w:tcW w:w="4647" w:type="dxa"/>
          </w:tcPr>
          <w:p w14:paraId="218027DB" w14:textId="7362F999" w:rsidR="006C1FB3" w:rsidRDefault="00382E29" w:rsidP="00875968">
            <w:pPr>
              <w:pStyle w:val="TableBlock"/>
            </w:pPr>
            <w:r>
              <w:rPr>
                <w:rFonts w:hint="cs"/>
                <w:rtl/>
              </w:rPr>
              <w:t>העובר על</w:t>
            </w:r>
            <w:r w:rsidR="006C1FB3" w:rsidRPr="006F785C">
              <w:rPr>
                <w:rFonts w:hint="cs"/>
                <w:rtl/>
              </w:rPr>
              <w:t xml:space="preserve"> הוראות סעיפים 2 ו-3</w:t>
            </w:r>
            <w:r>
              <w:rPr>
                <w:rFonts w:hint="cs"/>
                <w:rtl/>
              </w:rPr>
              <w:t>,</w:t>
            </w:r>
            <w:r w:rsidR="006C1FB3" w:rsidRPr="006F785C">
              <w:rPr>
                <w:rFonts w:hint="cs"/>
                <w:rtl/>
              </w:rPr>
              <w:t xml:space="preserve"> דינו </w:t>
            </w:r>
            <w:r>
              <w:rPr>
                <w:rFonts w:hint="eastAsia"/>
                <w:rtl/>
              </w:rPr>
              <w:t>–</w:t>
            </w:r>
            <w:r w:rsidRPr="006F785C">
              <w:rPr>
                <w:rFonts w:hint="cs"/>
                <w:rtl/>
              </w:rPr>
              <w:t xml:space="preserve"> </w:t>
            </w:r>
            <w:r w:rsidR="006C1FB3" w:rsidRPr="006F785C">
              <w:rPr>
                <w:rFonts w:hint="cs"/>
                <w:rtl/>
              </w:rPr>
              <w:t xml:space="preserve">כפל הקנס </w:t>
            </w:r>
            <w:r>
              <w:rPr>
                <w:rFonts w:hint="cs"/>
                <w:rtl/>
              </w:rPr>
              <w:t>הקבוע</w:t>
            </w:r>
            <w:r w:rsidRPr="006F785C">
              <w:rPr>
                <w:rFonts w:hint="cs"/>
                <w:rtl/>
              </w:rPr>
              <w:t xml:space="preserve"> </w:t>
            </w:r>
            <w:r w:rsidR="006C1FB3" w:rsidRPr="006F785C">
              <w:rPr>
                <w:rFonts w:hint="cs"/>
                <w:rtl/>
              </w:rPr>
              <w:t xml:space="preserve">בסעיף 61(א)(4) לחוק העונשין, </w:t>
            </w:r>
            <w:r w:rsidR="00A64C50">
              <w:rPr>
                <w:rFonts w:hint="cs"/>
                <w:rtl/>
              </w:rPr>
              <w:t>ה</w:t>
            </w:r>
            <w:r w:rsidR="006C1FB3" w:rsidRPr="006F785C">
              <w:rPr>
                <w:rFonts w:hint="cs"/>
                <w:rtl/>
              </w:rPr>
              <w:t>תשל"ז</w:t>
            </w:r>
            <w:r>
              <w:rPr>
                <w:rFonts w:hint="eastAsia"/>
                <w:rtl/>
              </w:rPr>
              <w:t>–</w:t>
            </w:r>
            <w:r w:rsidR="006C1FB3" w:rsidRPr="006F785C">
              <w:rPr>
                <w:rFonts w:hint="cs"/>
                <w:rtl/>
              </w:rPr>
              <w:t>1977</w:t>
            </w:r>
            <w:r w:rsidR="007D300B">
              <w:rPr>
                <w:rStyle w:val="a6"/>
                <w:rtl/>
              </w:rPr>
              <w:footnoteReference w:id="4"/>
            </w:r>
            <w:r w:rsidR="007D300B">
              <w:rPr>
                <w:rFonts w:hint="cs"/>
                <w:rtl/>
              </w:rPr>
              <w:t>.</w:t>
            </w:r>
          </w:p>
        </w:tc>
      </w:tr>
      <w:tr w:rsidR="000E59F4" w14:paraId="20ABE4C1" w14:textId="77777777" w:rsidTr="00875968">
        <w:trPr>
          <w:cantSplit/>
        </w:trPr>
        <w:tc>
          <w:tcPr>
            <w:tcW w:w="1869" w:type="dxa"/>
          </w:tcPr>
          <w:p w14:paraId="5F39E416" w14:textId="77777777" w:rsidR="000E59F4" w:rsidRDefault="000E59F4">
            <w:pPr>
              <w:pStyle w:val="TableSideHeading"/>
              <w:keepLines w:val="0"/>
            </w:pPr>
          </w:p>
        </w:tc>
        <w:tc>
          <w:tcPr>
            <w:tcW w:w="624" w:type="dxa"/>
          </w:tcPr>
          <w:p w14:paraId="4AEFFA48" w14:textId="77777777" w:rsidR="000E59F4" w:rsidRDefault="000E59F4">
            <w:pPr>
              <w:pStyle w:val="TableText"/>
              <w:keepLines w:val="0"/>
            </w:pPr>
          </w:p>
        </w:tc>
        <w:tc>
          <w:tcPr>
            <w:tcW w:w="1872" w:type="dxa"/>
            <w:gridSpan w:val="2"/>
          </w:tcPr>
          <w:p w14:paraId="73617146" w14:textId="1106F851" w:rsidR="000E59F4" w:rsidRDefault="000E59F4">
            <w:pPr>
              <w:pStyle w:val="TableInnerSideHeading"/>
            </w:pPr>
            <w:r>
              <w:rPr>
                <w:rFonts w:hint="cs"/>
                <w:rtl/>
              </w:rPr>
              <w:t>אחריות נושא משרה בתאגיד</w:t>
            </w:r>
          </w:p>
        </w:tc>
        <w:tc>
          <w:tcPr>
            <w:tcW w:w="624" w:type="dxa"/>
          </w:tcPr>
          <w:p w14:paraId="7C437174" w14:textId="13191F15" w:rsidR="000E59F4" w:rsidRDefault="000E59F4">
            <w:pPr>
              <w:pStyle w:val="TableText"/>
            </w:pPr>
            <w:r>
              <w:rPr>
                <w:rFonts w:hint="cs"/>
                <w:rtl/>
              </w:rPr>
              <w:t>4ד.</w:t>
            </w:r>
          </w:p>
        </w:tc>
        <w:tc>
          <w:tcPr>
            <w:tcW w:w="4647" w:type="dxa"/>
          </w:tcPr>
          <w:p w14:paraId="4264660D" w14:textId="1ABC8221" w:rsidR="000E59F4" w:rsidRDefault="000E59F4" w:rsidP="00875968">
            <w:pPr>
              <w:pStyle w:val="TableBlock"/>
            </w:pPr>
            <w:r>
              <w:rPr>
                <w:rFonts w:hint="cs"/>
                <w:rtl/>
              </w:rPr>
              <w:t>נעברה עבירה לפי חוק זה בידי תאגיד, יואשם בעבירה גם נושא משרה בתאגיד, אלא אם כן הוכיח כי העבירה נעברה שלא בידיעתו או שנקט כל האמצעים הסבירים להבטחת שמירתו של חוק זה.</w:t>
            </w:r>
            <w:r w:rsidR="00A64C50">
              <w:rPr>
                <w:rFonts w:hint="cs"/>
                <w:rtl/>
              </w:rPr>
              <w:t>"</w:t>
            </w:r>
          </w:p>
        </w:tc>
      </w:tr>
      <w:tr w:rsidR="00FA5CC4" w14:paraId="003F99C5" w14:textId="77777777" w:rsidTr="00875968">
        <w:trPr>
          <w:cantSplit/>
        </w:trPr>
        <w:tc>
          <w:tcPr>
            <w:tcW w:w="1869" w:type="dxa"/>
          </w:tcPr>
          <w:p w14:paraId="134650C1" w14:textId="1D4A87E2" w:rsidR="00FA5CC4" w:rsidRDefault="00FA5CC4" w:rsidP="008A56CF">
            <w:pPr>
              <w:pStyle w:val="TableSideHeading"/>
            </w:pPr>
            <w:r>
              <w:rPr>
                <w:rFonts w:hint="cs"/>
                <w:rtl/>
              </w:rPr>
              <w:t>הוספת סעי</w:t>
            </w:r>
            <w:r w:rsidR="008A56CF">
              <w:rPr>
                <w:rFonts w:hint="cs"/>
                <w:rtl/>
              </w:rPr>
              <w:t>פים</w:t>
            </w:r>
            <w:r>
              <w:rPr>
                <w:rFonts w:hint="cs"/>
                <w:rtl/>
              </w:rPr>
              <w:t xml:space="preserve"> 6א ו</w:t>
            </w:r>
            <w:r w:rsidR="00A64C50">
              <w:rPr>
                <w:rFonts w:hint="cs"/>
                <w:rtl/>
              </w:rPr>
              <w:t>-6</w:t>
            </w:r>
            <w:r>
              <w:rPr>
                <w:rFonts w:hint="cs"/>
                <w:rtl/>
              </w:rPr>
              <w:t>ב</w:t>
            </w:r>
          </w:p>
        </w:tc>
        <w:tc>
          <w:tcPr>
            <w:tcW w:w="624" w:type="dxa"/>
          </w:tcPr>
          <w:p w14:paraId="0B94B8F5" w14:textId="6EAC39B4" w:rsidR="00FA5CC4" w:rsidRDefault="00B44967" w:rsidP="00F018C3">
            <w:pPr>
              <w:pStyle w:val="TableText"/>
            </w:pPr>
            <w:r>
              <w:rPr>
                <w:rFonts w:hint="cs"/>
                <w:rtl/>
              </w:rPr>
              <w:t>3</w:t>
            </w:r>
            <w:r w:rsidR="00F018C3">
              <w:rPr>
                <w:rFonts w:hint="cs"/>
                <w:rtl/>
              </w:rPr>
              <w:t>.</w:t>
            </w:r>
          </w:p>
        </w:tc>
        <w:tc>
          <w:tcPr>
            <w:tcW w:w="7143" w:type="dxa"/>
            <w:gridSpan w:val="4"/>
          </w:tcPr>
          <w:p w14:paraId="6388555C" w14:textId="7BE531DC" w:rsidR="00FA5CC4" w:rsidRPr="00C34DE2" w:rsidRDefault="00FA5CC4" w:rsidP="00875968">
            <w:pPr>
              <w:pStyle w:val="TableBlock"/>
            </w:pPr>
            <w:r>
              <w:rPr>
                <w:rFonts w:hint="cs"/>
                <w:rtl/>
              </w:rPr>
              <w:t xml:space="preserve">אחרי סעיף 6 לחוק </w:t>
            </w:r>
            <w:r w:rsidR="00A64C50">
              <w:rPr>
                <w:rFonts w:hint="cs"/>
                <w:rtl/>
              </w:rPr>
              <w:t xml:space="preserve">העיקרי </w:t>
            </w:r>
            <w:r>
              <w:rPr>
                <w:rFonts w:hint="cs"/>
                <w:rtl/>
              </w:rPr>
              <w:t>יבוא:</w:t>
            </w:r>
          </w:p>
        </w:tc>
      </w:tr>
      <w:tr w:rsidR="00382E29" w14:paraId="7C3B37F0" w14:textId="77777777" w:rsidTr="00875968">
        <w:trPr>
          <w:cantSplit/>
        </w:trPr>
        <w:tc>
          <w:tcPr>
            <w:tcW w:w="1869" w:type="dxa"/>
          </w:tcPr>
          <w:p w14:paraId="0C32A856" w14:textId="39D09E76" w:rsidR="00382E29" w:rsidRDefault="00382E29" w:rsidP="00C47D36">
            <w:pPr>
              <w:pStyle w:val="TableSideHeading"/>
              <w:keepLines w:val="0"/>
            </w:pPr>
          </w:p>
        </w:tc>
        <w:tc>
          <w:tcPr>
            <w:tcW w:w="624" w:type="dxa"/>
          </w:tcPr>
          <w:p w14:paraId="0E709B46" w14:textId="46BF3FFF" w:rsidR="00382E29" w:rsidRDefault="00382E29" w:rsidP="00382E29">
            <w:pPr>
              <w:pStyle w:val="TableText"/>
              <w:keepLines w:val="0"/>
            </w:pPr>
          </w:p>
        </w:tc>
        <w:tc>
          <w:tcPr>
            <w:tcW w:w="1872" w:type="dxa"/>
            <w:gridSpan w:val="2"/>
          </w:tcPr>
          <w:p w14:paraId="11019078" w14:textId="320702C3" w:rsidR="00382E29" w:rsidRDefault="00FA5CC4" w:rsidP="004905E3">
            <w:pPr>
              <w:pStyle w:val="TableInnerSideHeading"/>
            </w:pPr>
            <w:r>
              <w:rPr>
                <w:rFonts w:hint="cs"/>
                <w:rtl/>
              </w:rPr>
              <w:t>"</w:t>
            </w:r>
            <w:r w:rsidR="00382E29">
              <w:rPr>
                <w:rFonts w:hint="cs"/>
                <w:rtl/>
              </w:rPr>
              <w:t xml:space="preserve">מרשם </w:t>
            </w:r>
          </w:p>
        </w:tc>
        <w:tc>
          <w:tcPr>
            <w:tcW w:w="624" w:type="dxa"/>
          </w:tcPr>
          <w:p w14:paraId="040FFC60" w14:textId="5201C69C" w:rsidR="00382E29" w:rsidRDefault="00C47D36" w:rsidP="00C47D36">
            <w:pPr>
              <w:pStyle w:val="TableText"/>
            </w:pPr>
            <w:r>
              <w:rPr>
                <w:rFonts w:hint="cs"/>
                <w:rtl/>
              </w:rPr>
              <w:t>6א</w:t>
            </w:r>
            <w:r w:rsidR="00382E29">
              <w:rPr>
                <w:rFonts w:hint="cs"/>
                <w:rtl/>
              </w:rPr>
              <w:t>.</w:t>
            </w:r>
          </w:p>
        </w:tc>
        <w:tc>
          <w:tcPr>
            <w:tcW w:w="4647" w:type="dxa"/>
            <w:vAlign w:val="center"/>
          </w:tcPr>
          <w:p w14:paraId="7451ABDD" w14:textId="07C5F564" w:rsidR="00382E29" w:rsidRDefault="000C49AD" w:rsidP="00E30BFA">
            <w:pPr>
              <w:pStyle w:val="TableBlock"/>
            </w:pPr>
            <w:r>
              <w:rPr>
                <w:rFonts w:hint="cs"/>
                <w:rtl/>
              </w:rPr>
              <w:t>במשרד הכלכלה והתעשייה ינוהל מרשם ובו י</w:t>
            </w:r>
            <w:r w:rsidR="00E30BFA">
              <w:rPr>
                <w:rFonts w:hint="cs"/>
                <w:rtl/>
              </w:rPr>
              <w:t>רשמו פ</w:t>
            </w:r>
            <w:r>
              <w:rPr>
                <w:rFonts w:hint="cs"/>
                <w:rtl/>
              </w:rPr>
              <w:t xml:space="preserve">רטיו של העובר </w:t>
            </w:r>
            <w:r w:rsidR="00EC0605">
              <w:rPr>
                <w:rFonts w:hint="cs"/>
                <w:rtl/>
              </w:rPr>
              <w:t>על</w:t>
            </w:r>
            <w:r>
              <w:rPr>
                <w:rFonts w:hint="cs"/>
                <w:rtl/>
              </w:rPr>
              <w:t xml:space="preserve"> הוראה מהוראות סעיפים 2 ו-3</w:t>
            </w:r>
            <w:r w:rsidR="00E257F0">
              <w:t>;</w:t>
            </w:r>
            <w:r>
              <w:rPr>
                <w:rFonts w:hint="cs"/>
                <w:rtl/>
              </w:rPr>
              <w:t xml:space="preserve"> </w:t>
            </w:r>
            <w:r w:rsidR="00E30BFA">
              <w:rPr>
                <w:rFonts w:hint="cs"/>
                <w:rtl/>
              </w:rPr>
              <w:t>פרטי המרשם יפורסמו וה</w:t>
            </w:r>
            <w:r>
              <w:rPr>
                <w:rFonts w:hint="cs"/>
                <w:rtl/>
              </w:rPr>
              <w:t>פרסום יעמוד בתוקפו 12 חודשים.</w:t>
            </w:r>
          </w:p>
        </w:tc>
      </w:tr>
      <w:tr w:rsidR="00382E29" w14:paraId="388A284D" w14:textId="77777777" w:rsidTr="00875968">
        <w:trPr>
          <w:cantSplit/>
        </w:trPr>
        <w:tc>
          <w:tcPr>
            <w:tcW w:w="1869" w:type="dxa"/>
          </w:tcPr>
          <w:p w14:paraId="06DDFFBB" w14:textId="6F879D38" w:rsidR="00382E29" w:rsidRDefault="00382E29" w:rsidP="00C47D36">
            <w:pPr>
              <w:pStyle w:val="TableSideHeading"/>
              <w:keepLines w:val="0"/>
            </w:pPr>
          </w:p>
        </w:tc>
        <w:tc>
          <w:tcPr>
            <w:tcW w:w="624" w:type="dxa"/>
          </w:tcPr>
          <w:p w14:paraId="0DA8610F" w14:textId="710E7205" w:rsidR="00382E29" w:rsidRDefault="00382E29" w:rsidP="00382E29">
            <w:pPr>
              <w:pStyle w:val="TableText"/>
              <w:keepLines w:val="0"/>
            </w:pPr>
          </w:p>
        </w:tc>
        <w:tc>
          <w:tcPr>
            <w:tcW w:w="1872" w:type="dxa"/>
            <w:gridSpan w:val="2"/>
          </w:tcPr>
          <w:p w14:paraId="0FA031CD" w14:textId="52391629" w:rsidR="00382E29" w:rsidRDefault="00382E29" w:rsidP="000C49AD">
            <w:pPr>
              <w:pStyle w:val="TableInnerSideHeading"/>
            </w:pPr>
            <w:r>
              <w:rPr>
                <w:rFonts w:hint="cs"/>
                <w:rtl/>
              </w:rPr>
              <w:t xml:space="preserve">קרן למניעת </w:t>
            </w:r>
            <w:r w:rsidR="005854FF">
              <w:rPr>
                <w:rFonts w:hint="cs"/>
                <w:rtl/>
              </w:rPr>
              <w:t xml:space="preserve">הפרעות אכילה </w:t>
            </w:r>
            <w:r>
              <w:rPr>
                <w:rFonts w:hint="cs"/>
                <w:rtl/>
              </w:rPr>
              <w:t>וטיפול בה</w:t>
            </w:r>
            <w:r w:rsidR="000C49AD">
              <w:rPr>
                <w:rFonts w:hint="cs"/>
                <w:rtl/>
              </w:rPr>
              <w:t>ן</w:t>
            </w:r>
          </w:p>
        </w:tc>
        <w:tc>
          <w:tcPr>
            <w:tcW w:w="624" w:type="dxa"/>
          </w:tcPr>
          <w:p w14:paraId="0FA3458A" w14:textId="731415E8" w:rsidR="00382E29" w:rsidRDefault="00C47D36" w:rsidP="00C47D36">
            <w:pPr>
              <w:pStyle w:val="TableText"/>
            </w:pPr>
            <w:r>
              <w:rPr>
                <w:rFonts w:hint="cs"/>
                <w:rtl/>
              </w:rPr>
              <w:t>6ב</w:t>
            </w:r>
            <w:r w:rsidR="00382E29">
              <w:rPr>
                <w:rFonts w:hint="cs"/>
                <w:rtl/>
              </w:rPr>
              <w:t>.</w:t>
            </w:r>
          </w:p>
        </w:tc>
        <w:tc>
          <w:tcPr>
            <w:tcW w:w="4647" w:type="dxa"/>
          </w:tcPr>
          <w:p w14:paraId="05AF7E3A" w14:textId="0E6B385D" w:rsidR="00382E29" w:rsidRDefault="00C47D36" w:rsidP="00EC0605">
            <w:pPr>
              <w:pStyle w:val="TableBlock"/>
            </w:pPr>
            <w:r>
              <w:rPr>
                <w:rFonts w:hint="cs"/>
                <w:rtl/>
              </w:rPr>
              <w:t>קנס</w:t>
            </w:r>
            <w:r w:rsidRPr="006F785C">
              <w:rPr>
                <w:rFonts w:hint="cs"/>
                <w:rtl/>
              </w:rPr>
              <w:t xml:space="preserve"> </w:t>
            </w:r>
            <w:r>
              <w:rPr>
                <w:rFonts w:hint="cs"/>
                <w:rtl/>
              </w:rPr>
              <w:t>שהוטל בשל עבירה</w:t>
            </w:r>
            <w:r w:rsidRPr="006F785C">
              <w:rPr>
                <w:rFonts w:hint="cs"/>
                <w:rtl/>
              </w:rPr>
              <w:t xml:space="preserve"> </w:t>
            </w:r>
            <w:r w:rsidR="00382E29" w:rsidRPr="006F785C">
              <w:rPr>
                <w:rFonts w:hint="cs"/>
                <w:rtl/>
              </w:rPr>
              <w:t xml:space="preserve">לפי חוק זה </w:t>
            </w:r>
            <w:r>
              <w:rPr>
                <w:rFonts w:hint="cs"/>
                <w:rtl/>
              </w:rPr>
              <w:t>ישולם</w:t>
            </w:r>
            <w:r w:rsidR="00382E29" w:rsidRPr="006F785C">
              <w:rPr>
                <w:rFonts w:hint="cs"/>
                <w:rtl/>
              </w:rPr>
              <w:t xml:space="preserve"> לקרן שתוקם </w:t>
            </w:r>
            <w:r w:rsidR="000C49AD">
              <w:rPr>
                <w:rFonts w:hint="cs"/>
                <w:rtl/>
              </w:rPr>
              <w:t>ב</w:t>
            </w:r>
            <w:r w:rsidR="00382E29" w:rsidRPr="006F785C">
              <w:rPr>
                <w:rFonts w:hint="cs"/>
                <w:rtl/>
              </w:rPr>
              <w:t>משרד הבריאות</w:t>
            </w:r>
            <w:r>
              <w:rPr>
                <w:rFonts w:hint="cs"/>
                <w:rtl/>
              </w:rPr>
              <w:t>,</w:t>
            </w:r>
            <w:r w:rsidR="00382E29" w:rsidRPr="006F785C">
              <w:rPr>
                <w:rFonts w:hint="cs"/>
                <w:rtl/>
              </w:rPr>
              <w:t xml:space="preserve"> ותפעל למניעת הפרעות אכילה ו</w:t>
            </w:r>
            <w:r w:rsidR="00EC0605">
              <w:rPr>
                <w:rFonts w:hint="cs"/>
                <w:rtl/>
              </w:rPr>
              <w:t>ה</w:t>
            </w:r>
            <w:r w:rsidR="00382E29" w:rsidRPr="006F785C">
              <w:rPr>
                <w:rFonts w:hint="cs"/>
                <w:rtl/>
              </w:rPr>
              <w:t>טיפול בהן.</w:t>
            </w:r>
            <w:r w:rsidR="00FA5CC4">
              <w:rPr>
                <w:rFonts w:hint="cs"/>
                <w:rtl/>
              </w:rPr>
              <w:t>"</w:t>
            </w:r>
          </w:p>
        </w:tc>
      </w:tr>
      <w:tr w:rsidR="00382E29" w14:paraId="50E621ED" w14:textId="77777777" w:rsidTr="00875968">
        <w:trPr>
          <w:cantSplit/>
        </w:trPr>
        <w:tc>
          <w:tcPr>
            <w:tcW w:w="1869" w:type="dxa"/>
          </w:tcPr>
          <w:p w14:paraId="2738D26A" w14:textId="77777777" w:rsidR="00382E29" w:rsidRDefault="00382E29" w:rsidP="00382E29">
            <w:pPr>
              <w:pStyle w:val="TableSideHeading"/>
            </w:pPr>
            <w:r>
              <w:rPr>
                <w:rtl/>
              </w:rPr>
              <w:t>תיקון חוק הרשות השניה לטלויזיה ורדיו</w:t>
            </w:r>
          </w:p>
        </w:tc>
        <w:tc>
          <w:tcPr>
            <w:tcW w:w="624" w:type="dxa"/>
          </w:tcPr>
          <w:p w14:paraId="49ECE813" w14:textId="45313E05" w:rsidR="00382E29" w:rsidRDefault="00226ECF" w:rsidP="00382E29">
            <w:pPr>
              <w:pStyle w:val="TableText"/>
            </w:pPr>
            <w:r>
              <w:rPr>
                <w:rFonts w:hint="cs"/>
                <w:rtl/>
              </w:rPr>
              <w:t>4</w:t>
            </w:r>
            <w:r w:rsidR="00F018C3">
              <w:rPr>
                <w:rFonts w:hint="cs"/>
                <w:rtl/>
              </w:rPr>
              <w:t>.</w:t>
            </w:r>
          </w:p>
        </w:tc>
        <w:tc>
          <w:tcPr>
            <w:tcW w:w="7143" w:type="dxa"/>
            <w:gridSpan w:val="4"/>
          </w:tcPr>
          <w:p w14:paraId="20900A41" w14:textId="22B6D16A" w:rsidR="00382E29" w:rsidRPr="00C34DE2" w:rsidRDefault="00382E29" w:rsidP="00875968">
            <w:pPr>
              <w:pStyle w:val="TableBlock"/>
            </w:pPr>
            <w:r w:rsidRPr="006F785C">
              <w:rPr>
                <w:rFonts w:hint="cs"/>
                <w:rtl/>
              </w:rPr>
              <w:t>בחוק</w:t>
            </w:r>
            <w:r w:rsidRPr="006F785C">
              <w:rPr>
                <w:rtl/>
              </w:rPr>
              <w:t xml:space="preserve"> </w:t>
            </w:r>
            <w:r w:rsidRPr="006F785C">
              <w:rPr>
                <w:rFonts w:hint="cs"/>
                <w:rtl/>
              </w:rPr>
              <w:t>הרשות</w:t>
            </w:r>
            <w:r w:rsidRPr="006F785C">
              <w:rPr>
                <w:rtl/>
              </w:rPr>
              <w:t xml:space="preserve"> </w:t>
            </w:r>
            <w:r w:rsidRPr="006F785C">
              <w:rPr>
                <w:rFonts w:hint="cs"/>
                <w:rtl/>
              </w:rPr>
              <w:t>השניה</w:t>
            </w:r>
            <w:r w:rsidRPr="006F785C">
              <w:rPr>
                <w:rtl/>
              </w:rPr>
              <w:t xml:space="preserve"> </w:t>
            </w:r>
            <w:r w:rsidRPr="006F785C">
              <w:rPr>
                <w:rFonts w:hint="cs"/>
                <w:rtl/>
              </w:rPr>
              <w:t>לטלויזיה</w:t>
            </w:r>
            <w:r w:rsidRPr="006F785C">
              <w:rPr>
                <w:rtl/>
              </w:rPr>
              <w:t xml:space="preserve"> </w:t>
            </w:r>
            <w:r w:rsidRPr="006F785C">
              <w:rPr>
                <w:rFonts w:hint="cs"/>
                <w:rtl/>
              </w:rPr>
              <w:t>ורדיו</w:t>
            </w:r>
            <w:r w:rsidRPr="006F785C">
              <w:rPr>
                <w:rtl/>
              </w:rPr>
              <w:t xml:space="preserve">, </w:t>
            </w:r>
            <w:r w:rsidR="00A64C50">
              <w:rPr>
                <w:rFonts w:hint="cs"/>
                <w:rtl/>
              </w:rPr>
              <w:t>ה</w:t>
            </w:r>
            <w:r w:rsidRPr="006F785C">
              <w:rPr>
                <w:rFonts w:hint="cs"/>
                <w:rtl/>
              </w:rPr>
              <w:t>תש</w:t>
            </w:r>
            <w:r w:rsidRPr="006F785C">
              <w:rPr>
                <w:rtl/>
              </w:rPr>
              <w:t>"</w:t>
            </w:r>
            <w:r w:rsidRPr="006F785C">
              <w:rPr>
                <w:rFonts w:hint="cs"/>
                <w:rtl/>
              </w:rPr>
              <w:t>ן</w:t>
            </w:r>
            <w:r w:rsidR="00BD2A21">
              <w:rPr>
                <w:rFonts w:hint="cs"/>
                <w:rtl/>
              </w:rPr>
              <w:t>–</w:t>
            </w:r>
            <w:r w:rsidRPr="006F785C">
              <w:rPr>
                <w:rtl/>
              </w:rPr>
              <w:t>1990</w:t>
            </w:r>
            <w:r w:rsidRPr="00AA0702">
              <w:rPr>
                <w:sz w:val="16"/>
                <w:szCs w:val="22"/>
                <w:rtl/>
              </w:rPr>
              <w:footnoteReference w:id="5"/>
            </w:r>
            <w:r w:rsidR="000F09D3">
              <w:rPr>
                <w:rFonts w:hint="cs"/>
                <w:rtl/>
              </w:rPr>
              <w:t xml:space="preserve"> </w:t>
            </w:r>
            <w:r w:rsidR="000F09D3">
              <w:rPr>
                <w:rFonts w:hint="eastAsia"/>
              </w:rPr>
              <w:t>–</w:t>
            </w:r>
            <w:r w:rsidR="00400591">
              <w:rPr>
                <w:rtl/>
              </w:rPr>
              <w:t xml:space="preserve"> </w:t>
            </w:r>
          </w:p>
        </w:tc>
      </w:tr>
      <w:tr w:rsidR="00400591" w14:paraId="35EA66E2" w14:textId="77777777" w:rsidTr="00875968">
        <w:trPr>
          <w:cantSplit/>
        </w:trPr>
        <w:tc>
          <w:tcPr>
            <w:tcW w:w="1869" w:type="dxa"/>
          </w:tcPr>
          <w:p w14:paraId="5BD1050B" w14:textId="77777777" w:rsidR="00400591" w:rsidRDefault="00400591" w:rsidP="00382E29">
            <w:pPr>
              <w:pStyle w:val="TableSideHeading"/>
              <w:rPr>
                <w:rtl/>
              </w:rPr>
            </w:pPr>
          </w:p>
        </w:tc>
        <w:tc>
          <w:tcPr>
            <w:tcW w:w="624" w:type="dxa"/>
          </w:tcPr>
          <w:p w14:paraId="7CBB6C41" w14:textId="77777777" w:rsidR="00400591" w:rsidRDefault="00400591" w:rsidP="00400591">
            <w:pPr>
              <w:pStyle w:val="TableText"/>
              <w:rPr>
                <w:rtl/>
              </w:rPr>
            </w:pPr>
          </w:p>
        </w:tc>
        <w:tc>
          <w:tcPr>
            <w:tcW w:w="7143" w:type="dxa"/>
            <w:gridSpan w:val="4"/>
          </w:tcPr>
          <w:p w14:paraId="3D350415" w14:textId="36490B35" w:rsidR="00400591" w:rsidRDefault="00400591" w:rsidP="00A64C50">
            <w:pPr>
              <w:pStyle w:val="TableBlock"/>
              <w:rPr>
                <w:rtl/>
              </w:rPr>
            </w:pPr>
            <w:r>
              <w:rPr>
                <w:rFonts w:hint="cs"/>
                <w:rtl/>
              </w:rPr>
              <w:t>(1)</w:t>
            </w:r>
            <w:r>
              <w:rPr>
                <w:rtl/>
              </w:rPr>
              <w:tab/>
            </w:r>
            <w:r w:rsidR="00A64C50">
              <w:rPr>
                <w:rFonts w:hint="cs"/>
                <w:rtl/>
              </w:rPr>
              <w:t>אחרי</w:t>
            </w:r>
            <w:r>
              <w:rPr>
                <w:rFonts w:hint="cs"/>
                <w:rtl/>
              </w:rPr>
              <w:t xml:space="preserve"> סעיף 46(א)(4) יבוא:</w:t>
            </w:r>
            <w:r>
              <w:t xml:space="preserve"> </w:t>
            </w:r>
          </w:p>
        </w:tc>
      </w:tr>
      <w:tr w:rsidR="00400591" w14:paraId="0E48A029" w14:textId="77777777" w:rsidTr="00875968">
        <w:trPr>
          <w:cantSplit/>
        </w:trPr>
        <w:tc>
          <w:tcPr>
            <w:tcW w:w="1869" w:type="dxa"/>
          </w:tcPr>
          <w:p w14:paraId="03480880" w14:textId="77777777" w:rsidR="00400591" w:rsidRDefault="00400591" w:rsidP="00E47FF8">
            <w:pPr>
              <w:pStyle w:val="TableSideHeading"/>
            </w:pPr>
          </w:p>
        </w:tc>
        <w:tc>
          <w:tcPr>
            <w:tcW w:w="624" w:type="dxa"/>
          </w:tcPr>
          <w:p w14:paraId="7D7AC208" w14:textId="77777777" w:rsidR="00400591" w:rsidRDefault="00400591" w:rsidP="00E47FF8">
            <w:pPr>
              <w:pStyle w:val="TableText"/>
            </w:pPr>
          </w:p>
        </w:tc>
        <w:tc>
          <w:tcPr>
            <w:tcW w:w="624" w:type="dxa"/>
          </w:tcPr>
          <w:p w14:paraId="69729B33" w14:textId="77777777" w:rsidR="00400591" w:rsidRDefault="00400591" w:rsidP="00E47FF8">
            <w:pPr>
              <w:pStyle w:val="TableText"/>
            </w:pPr>
          </w:p>
        </w:tc>
        <w:tc>
          <w:tcPr>
            <w:tcW w:w="6519" w:type="dxa"/>
            <w:gridSpan w:val="3"/>
          </w:tcPr>
          <w:p w14:paraId="6CB8F2D4" w14:textId="11CF7BD7" w:rsidR="00400591" w:rsidRDefault="00400591" w:rsidP="00875968">
            <w:pPr>
              <w:pStyle w:val="TableBlock"/>
            </w:pPr>
            <w:r>
              <w:rPr>
                <w:rFonts w:hint="cs"/>
                <w:rtl/>
              </w:rPr>
              <w:t>"(5)</w:t>
            </w:r>
            <w:r>
              <w:rPr>
                <w:rtl/>
              </w:rPr>
              <w:tab/>
            </w:r>
            <w:r w:rsidRPr="006F785C">
              <w:rPr>
                <w:rFonts w:hint="cs"/>
                <w:rtl/>
              </w:rPr>
              <w:t>הפרת</w:t>
            </w:r>
            <w:r w:rsidRPr="006F785C">
              <w:rPr>
                <w:rtl/>
              </w:rPr>
              <w:t xml:space="preserve"> </w:t>
            </w:r>
            <w:r w:rsidRPr="006F785C">
              <w:rPr>
                <w:rFonts w:hint="cs"/>
                <w:rtl/>
              </w:rPr>
              <w:t>הוראות</w:t>
            </w:r>
            <w:r w:rsidRPr="006F785C">
              <w:rPr>
                <w:rtl/>
              </w:rPr>
              <w:t xml:space="preserve"> </w:t>
            </w:r>
            <w:r w:rsidRPr="006F785C">
              <w:rPr>
                <w:rFonts w:hint="cs"/>
                <w:rtl/>
              </w:rPr>
              <w:t>חוק</w:t>
            </w:r>
            <w:r w:rsidRPr="006F785C">
              <w:rPr>
                <w:rtl/>
              </w:rPr>
              <w:t xml:space="preserve"> </w:t>
            </w:r>
            <w:r w:rsidRPr="006F785C">
              <w:rPr>
                <w:rFonts w:hint="cs"/>
                <w:rtl/>
              </w:rPr>
              <w:t>הגבלת</w:t>
            </w:r>
            <w:r w:rsidRPr="006F785C">
              <w:rPr>
                <w:rtl/>
              </w:rPr>
              <w:t xml:space="preserve"> </w:t>
            </w:r>
            <w:r w:rsidRPr="006F785C">
              <w:rPr>
                <w:rFonts w:hint="cs"/>
                <w:rtl/>
              </w:rPr>
              <w:t>משקל</w:t>
            </w:r>
            <w:r w:rsidRPr="006F785C">
              <w:rPr>
                <w:rtl/>
              </w:rPr>
              <w:t xml:space="preserve"> </w:t>
            </w:r>
            <w:r w:rsidRPr="006F785C">
              <w:rPr>
                <w:rFonts w:hint="cs"/>
                <w:rtl/>
              </w:rPr>
              <w:t>בתעשיית</w:t>
            </w:r>
            <w:r w:rsidRPr="006F785C">
              <w:rPr>
                <w:rtl/>
              </w:rPr>
              <w:t xml:space="preserve"> </w:t>
            </w:r>
            <w:r w:rsidRPr="006F785C">
              <w:rPr>
                <w:rFonts w:hint="cs"/>
                <w:rtl/>
              </w:rPr>
              <w:t>הדוגמנות</w:t>
            </w:r>
            <w:r w:rsidRPr="006F785C">
              <w:rPr>
                <w:rtl/>
              </w:rPr>
              <w:t xml:space="preserve">, </w:t>
            </w:r>
            <w:r w:rsidRPr="006F785C">
              <w:rPr>
                <w:rFonts w:hint="cs"/>
                <w:rtl/>
              </w:rPr>
              <w:t>התשע</w:t>
            </w:r>
            <w:r w:rsidRPr="006F785C">
              <w:rPr>
                <w:rtl/>
              </w:rPr>
              <w:t>"</w:t>
            </w:r>
            <w:r w:rsidRPr="006F785C">
              <w:rPr>
                <w:rFonts w:hint="cs"/>
                <w:rtl/>
              </w:rPr>
              <w:t>ב</w:t>
            </w:r>
            <w:r>
              <w:rPr>
                <w:rFonts w:hint="cs"/>
                <w:rtl/>
              </w:rPr>
              <w:t>–</w:t>
            </w:r>
            <w:r w:rsidRPr="006F785C">
              <w:rPr>
                <w:rtl/>
              </w:rPr>
              <w:t>2012</w:t>
            </w:r>
            <w:r>
              <w:rPr>
                <w:rFonts w:hint="cs"/>
                <w:rtl/>
              </w:rPr>
              <w:t>"</w:t>
            </w:r>
            <w:r w:rsidR="00A64C50">
              <w:rPr>
                <w:rFonts w:hint="cs"/>
                <w:rtl/>
              </w:rPr>
              <w:t>;</w:t>
            </w:r>
          </w:p>
        </w:tc>
      </w:tr>
      <w:tr w:rsidR="00400591" w14:paraId="7126868D" w14:textId="77777777" w:rsidTr="00875968">
        <w:trPr>
          <w:cantSplit/>
        </w:trPr>
        <w:tc>
          <w:tcPr>
            <w:tcW w:w="1869" w:type="dxa"/>
          </w:tcPr>
          <w:p w14:paraId="48900538" w14:textId="77777777" w:rsidR="00400591" w:rsidRDefault="00400591" w:rsidP="00382E29">
            <w:pPr>
              <w:pStyle w:val="TableSideHeading"/>
              <w:rPr>
                <w:rtl/>
              </w:rPr>
            </w:pPr>
          </w:p>
        </w:tc>
        <w:tc>
          <w:tcPr>
            <w:tcW w:w="624" w:type="dxa"/>
          </w:tcPr>
          <w:p w14:paraId="58250A89" w14:textId="77777777" w:rsidR="00400591" w:rsidRDefault="00400591" w:rsidP="00400591">
            <w:pPr>
              <w:pStyle w:val="TableText"/>
              <w:rPr>
                <w:rtl/>
              </w:rPr>
            </w:pPr>
          </w:p>
        </w:tc>
        <w:tc>
          <w:tcPr>
            <w:tcW w:w="7143" w:type="dxa"/>
            <w:gridSpan w:val="4"/>
          </w:tcPr>
          <w:p w14:paraId="201217C4" w14:textId="1C1AF4CD" w:rsidR="00400591" w:rsidRDefault="00400591" w:rsidP="00875968">
            <w:pPr>
              <w:pStyle w:val="TableBlock"/>
              <w:rPr>
                <w:rtl/>
              </w:rPr>
            </w:pPr>
            <w:r>
              <w:rPr>
                <w:rFonts w:hint="cs"/>
                <w:rtl/>
              </w:rPr>
              <w:t>2)</w:t>
            </w:r>
            <w:r>
              <w:rPr>
                <w:rtl/>
              </w:rPr>
              <w:tab/>
            </w:r>
            <w:r>
              <w:rPr>
                <w:rFonts w:hint="cs"/>
                <w:rtl/>
              </w:rPr>
              <w:t>בסעיף 46(ב), במקום "עד (4)" יבוא "עד (5)".</w:t>
            </w:r>
          </w:p>
        </w:tc>
      </w:tr>
    </w:tbl>
    <w:p w14:paraId="7F6961CA" w14:textId="77777777" w:rsidR="002D1EE3" w:rsidRDefault="002D1EE3" w:rsidP="002D1EE3">
      <w:pPr>
        <w:pStyle w:val="HeadDivreiHesber"/>
        <w:rPr>
          <w:rtl/>
        </w:rPr>
      </w:pPr>
      <w:r w:rsidRPr="0027450A">
        <w:rPr>
          <w:rFonts w:hint="cs"/>
          <w:rtl/>
        </w:rPr>
        <w:t>דברי הסבר</w:t>
      </w:r>
    </w:p>
    <w:p w14:paraId="74FEE5D4" w14:textId="057B261E" w:rsidR="006C1FB3" w:rsidRDefault="006C1FB3" w:rsidP="00226ECF">
      <w:pPr>
        <w:pStyle w:val="Hesber"/>
        <w:rPr>
          <w:rtl/>
        </w:rPr>
      </w:pPr>
      <w:r>
        <w:rPr>
          <w:rtl/>
        </w:rPr>
        <w:t xml:space="preserve">חוק הגבלת משקל בתעשיית הדוגמנות נועד לצמצם את ההשלכות שיש לחשיפה לפרסום המציג דוגמנים ודוגמניות, וכן אנשים ידועים ומפורסמים, רזים באופן קיצוני, על </w:t>
      </w:r>
      <w:r w:rsidR="00226ECF">
        <w:rPr>
          <w:rFonts w:hint="cs"/>
          <w:rtl/>
        </w:rPr>
        <w:t xml:space="preserve">ידי </w:t>
      </w:r>
      <w:r>
        <w:rPr>
          <w:rtl/>
        </w:rPr>
        <w:t>יצירת דימוי גוף נמוך והתפתחות הפרעות אכילה בישראל</w:t>
      </w:r>
      <w:r w:rsidR="007B5211">
        <w:rPr>
          <w:rFonts w:hint="cs"/>
          <w:rtl/>
        </w:rPr>
        <w:t>.</w:t>
      </w:r>
      <w:r>
        <w:rPr>
          <w:rFonts w:hint="cs"/>
          <w:rtl/>
        </w:rPr>
        <w:t xml:space="preserve"> </w:t>
      </w:r>
      <w:r>
        <w:rPr>
          <w:rtl/>
        </w:rPr>
        <w:t xml:space="preserve">חוק זה, אשר נחשב </w:t>
      </w:r>
      <w:r w:rsidR="007B5211">
        <w:rPr>
          <w:rFonts w:hint="cs"/>
          <w:rtl/>
        </w:rPr>
        <w:t>ל</w:t>
      </w:r>
      <w:r w:rsidR="007B5211">
        <w:rPr>
          <w:rtl/>
        </w:rPr>
        <w:t xml:space="preserve">פורץ </w:t>
      </w:r>
      <w:r>
        <w:rPr>
          <w:rtl/>
        </w:rPr>
        <w:t xml:space="preserve">דרך בתחומו, אומץ על-ידי אומות רבות בעולם, והאחרונה שבהן, צרפת, אף הגדילה לעשות וקבעה בו סנקציות מסוג קנסות ועד מאסר בפועל. מבחינה זו, על-אף היות ישראל חלוצה בתחום זה של חקיקה, היא עודנה מפגרת אחרי הסטנדרט המתפתח בעולם </w:t>
      </w:r>
      <w:r w:rsidR="007B5211">
        <w:rPr>
          <w:rFonts w:hint="cs"/>
          <w:rtl/>
        </w:rPr>
        <w:t>שכן טרם</w:t>
      </w:r>
      <w:r>
        <w:rPr>
          <w:rtl/>
        </w:rPr>
        <w:t xml:space="preserve"> חוקקה אמצעים לאכיפה ופיקוח על החוק ובכך הותירה אותו כאות מתה בספר החוקים הישראלי.</w:t>
      </w:r>
    </w:p>
    <w:p w14:paraId="71C3FF0F" w14:textId="6E581D78" w:rsidR="006C1FB3" w:rsidRDefault="00226ECF" w:rsidP="00226ECF">
      <w:pPr>
        <w:pStyle w:val="Hesber"/>
        <w:rPr>
          <w:rtl/>
        </w:rPr>
      </w:pPr>
      <w:r>
        <w:rPr>
          <w:rFonts w:hint="cs"/>
          <w:rtl/>
        </w:rPr>
        <w:t>ב</w:t>
      </w:r>
      <w:r w:rsidR="006C1FB3">
        <w:rPr>
          <w:rFonts w:hint="cs"/>
          <w:rtl/>
        </w:rPr>
        <w:t xml:space="preserve">סעיף 1 </w:t>
      </w:r>
      <w:r>
        <w:rPr>
          <w:rFonts w:hint="cs"/>
          <w:rtl/>
        </w:rPr>
        <w:t>להצעת החוק מוצע להדגיש</w:t>
      </w:r>
      <w:r w:rsidR="006C1FB3">
        <w:rPr>
          <w:rFonts w:hint="cs"/>
          <w:rtl/>
        </w:rPr>
        <w:t xml:space="preserve"> כי על הרופא לבדוק את מבקש האישור ולא להסתפק בהיכרותו עמו או בשיחה טלפונית.</w:t>
      </w:r>
    </w:p>
    <w:p w14:paraId="75B7E5E2" w14:textId="31F2A653" w:rsidR="006C1FB3" w:rsidRDefault="00226ECF" w:rsidP="00226ECF">
      <w:pPr>
        <w:pStyle w:val="Hesber"/>
        <w:rPr>
          <w:rtl/>
        </w:rPr>
      </w:pPr>
      <w:r>
        <w:rPr>
          <w:rFonts w:hint="cs"/>
          <w:rtl/>
        </w:rPr>
        <w:t>ב</w:t>
      </w:r>
      <w:r w:rsidR="009010AF">
        <w:rPr>
          <w:rFonts w:hint="cs"/>
          <w:rtl/>
        </w:rPr>
        <w:t xml:space="preserve">סעיף 2 </w:t>
      </w:r>
      <w:r>
        <w:rPr>
          <w:rFonts w:hint="cs"/>
          <w:rtl/>
        </w:rPr>
        <w:t>להצעת החוק מוצע ל</w:t>
      </w:r>
      <w:r w:rsidR="009010AF">
        <w:rPr>
          <w:rtl/>
        </w:rPr>
        <w:t xml:space="preserve">אפשר למדינה לאכוף את חוקיה על </w:t>
      </w:r>
      <w:r w:rsidR="009010AF">
        <w:rPr>
          <w:rFonts w:hint="cs"/>
          <w:rtl/>
        </w:rPr>
        <w:t>זרועותי</w:t>
      </w:r>
      <w:r w:rsidR="009010AF">
        <w:rPr>
          <w:rtl/>
        </w:rPr>
        <w:t>ה</w:t>
      </w:r>
      <w:r w:rsidR="009010AF">
        <w:rPr>
          <w:rFonts w:hint="cs"/>
          <w:rtl/>
        </w:rPr>
        <w:t xml:space="preserve"> שלה,</w:t>
      </w:r>
      <w:r w:rsidR="009010AF">
        <w:rPr>
          <w:rtl/>
        </w:rPr>
        <w:t xml:space="preserve"> </w:t>
      </w:r>
      <w:r w:rsidR="009010AF">
        <w:rPr>
          <w:rFonts w:hint="cs"/>
          <w:rtl/>
        </w:rPr>
        <w:t>באמצעות</w:t>
      </w:r>
      <w:r w:rsidR="009010AF">
        <w:rPr>
          <w:rtl/>
        </w:rPr>
        <w:t xml:space="preserve"> קביעת נורמה אשר כובלת תאגידים סטטוטוריים מלקיחת חלק, במישרין ובעקיפין, בפרסום אשר אינו עומד בהוראות החוק</w:t>
      </w:r>
      <w:r w:rsidR="009010AF">
        <w:rPr>
          <w:rFonts w:hint="cs"/>
          <w:rtl/>
        </w:rPr>
        <w:t>.</w:t>
      </w:r>
      <w:r>
        <w:rPr>
          <w:rFonts w:hint="cs"/>
          <w:rtl/>
        </w:rPr>
        <w:t xml:space="preserve"> </w:t>
      </w:r>
      <w:r w:rsidR="009010AF">
        <w:rPr>
          <w:rFonts w:hint="cs"/>
          <w:rtl/>
        </w:rPr>
        <w:t xml:space="preserve">בנוסף, </w:t>
      </w:r>
      <w:r>
        <w:rPr>
          <w:rFonts w:hint="cs"/>
          <w:rtl/>
        </w:rPr>
        <w:t xml:space="preserve">מוצע לאפשר </w:t>
      </w:r>
      <w:r w:rsidR="006C1FB3">
        <w:rPr>
          <w:rFonts w:hint="cs"/>
          <w:rtl/>
        </w:rPr>
        <w:t>למי שנפגע מהפרת הוראות חוק זה ונגרם לו נזק, לה</w:t>
      </w:r>
      <w:r w:rsidR="007B5211">
        <w:rPr>
          <w:rFonts w:hint="cs"/>
          <w:rtl/>
        </w:rPr>
        <w:t>י</w:t>
      </w:r>
      <w:r w:rsidR="006C1FB3">
        <w:rPr>
          <w:rFonts w:hint="cs"/>
          <w:rtl/>
        </w:rPr>
        <w:t xml:space="preserve">פרע מהגוף המפר בהתאם להוראות פקודת הנזיקין. </w:t>
      </w:r>
      <w:r w:rsidR="009010AF">
        <w:rPr>
          <w:rFonts w:hint="cs"/>
          <w:rtl/>
        </w:rPr>
        <w:t xml:space="preserve">כמו כן, </w:t>
      </w:r>
      <w:r>
        <w:rPr>
          <w:rFonts w:hint="cs"/>
          <w:rtl/>
        </w:rPr>
        <w:t>מוצע</w:t>
      </w:r>
      <w:r w:rsidR="009010AF">
        <w:rPr>
          <w:rFonts w:hint="cs"/>
          <w:rtl/>
        </w:rPr>
        <w:t xml:space="preserve"> </w:t>
      </w:r>
      <w:r>
        <w:rPr>
          <w:rFonts w:hint="cs"/>
          <w:rtl/>
        </w:rPr>
        <w:t>לה</w:t>
      </w:r>
      <w:r w:rsidR="006C1FB3">
        <w:rPr>
          <w:rFonts w:hint="cs"/>
          <w:rtl/>
        </w:rPr>
        <w:t>טיל סנקציה כספית בגין הפרת החוק ו</w:t>
      </w:r>
      <w:r>
        <w:rPr>
          <w:rFonts w:hint="cs"/>
          <w:rtl/>
        </w:rPr>
        <w:t>לאפשר לה</w:t>
      </w:r>
      <w:r w:rsidR="006C1FB3">
        <w:rPr>
          <w:rFonts w:hint="cs"/>
          <w:rtl/>
        </w:rPr>
        <w:t>אשים נושאי משרה בתאגידים בדומה ל</w:t>
      </w:r>
      <w:r w:rsidR="009010AF">
        <w:rPr>
          <w:rFonts w:hint="cs"/>
          <w:rtl/>
        </w:rPr>
        <w:t>קבוע ב</w:t>
      </w:r>
      <w:r w:rsidR="006C1FB3">
        <w:rPr>
          <w:rFonts w:hint="cs"/>
          <w:rtl/>
        </w:rPr>
        <w:t>חוקי רישוי עסקים.</w:t>
      </w:r>
    </w:p>
    <w:p w14:paraId="18B35FFD" w14:textId="59770524" w:rsidR="006C1FB3" w:rsidRDefault="00226ECF" w:rsidP="00E30BFA">
      <w:pPr>
        <w:pStyle w:val="Hesber"/>
        <w:rPr>
          <w:rtl/>
        </w:rPr>
      </w:pPr>
      <w:r>
        <w:rPr>
          <w:rFonts w:hint="cs"/>
          <w:rtl/>
        </w:rPr>
        <w:t>ב</w:t>
      </w:r>
      <w:r w:rsidR="006C1FB3">
        <w:rPr>
          <w:rFonts w:hint="cs"/>
          <w:rtl/>
        </w:rPr>
        <w:t xml:space="preserve">סעיף </w:t>
      </w:r>
      <w:r w:rsidR="009010AF">
        <w:rPr>
          <w:rFonts w:hint="cs"/>
          <w:rtl/>
        </w:rPr>
        <w:t xml:space="preserve">3 </w:t>
      </w:r>
      <w:r>
        <w:rPr>
          <w:rFonts w:hint="cs"/>
          <w:rtl/>
        </w:rPr>
        <w:t xml:space="preserve">להצעת החוק מוצע להקים מרשם ובו יפורטו פרטיהם של מפרי החוק. </w:t>
      </w:r>
      <w:r w:rsidR="00E30BFA">
        <w:rPr>
          <w:rFonts w:hint="cs"/>
          <w:rtl/>
        </w:rPr>
        <w:t xml:space="preserve">פרטי מפר הרשום במרשם יפורסמו לתקופה של 12 חודשים. </w:t>
      </w:r>
      <w:r>
        <w:rPr>
          <w:rFonts w:hint="cs"/>
          <w:rtl/>
        </w:rPr>
        <w:t xml:space="preserve">כן </w:t>
      </w:r>
      <w:r w:rsidR="009010AF">
        <w:rPr>
          <w:rFonts w:hint="cs"/>
          <w:rtl/>
        </w:rPr>
        <w:t xml:space="preserve">מוצע כי </w:t>
      </w:r>
      <w:r>
        <w:rPr>
          <w:rFonts w:hint="cs"/>
          <w:rtl/>
        </w:rPr>
        <w:t>להקים</w:t>
      </w:r>
      <w:r w:rsidR="006C1FB3">
        <w:rPr>
          <w:rFonts w:hint="cs"/>
          <w:rtl/>
        </w:rPr>
        <w:t xml:space="preserve"> במשרד הבריאות קרן</w:t>
      </w:r>
      <w:r w:rsidR="009010AF">
        <w:rPr>
          <w:rFonts w:hint="cs"/>
          <w:rtl/>
        </w:rPr>
        <w:t xml:space="preserve"> שתפעל למניעת הפרעות אכילה וטיפול בהן,</w:t>
      </w:r>
      <w:r w:rsidR="006C1FB3">
        <w:rPr>
          <w:rFonts w:hint="cs"/>
          <w:rtl/>
        </w:rPr>
        <w:t xml:space="preserve"> שבה ירוכזו כל כספי הקנסות. </w:t>
      </w:r>
    </w:p>
    <w:p w14:paraId="347636DE" w14:textId="7CC76D82" w:rsidR="006C1FB3" w:rsidRDefault="00226ECF" w:rsidP="00226ECF">
      <w:pPr>
        <w:pStyle w:val="Hesber"/>
        <w:rPr>
          <w:rtl/>
        </w:rPr>
      </w:pPr>
      <w:r>
        <w:rPr>
          <w:rFonts w:hint="cs"/>
          <w:rtl/>
        </w:rPr>
        <w:t>ב</w:t>
      </w:r>
      <w:r w:rsidR="006C1FB3">
        <w:rPr>
          <w:rFonts w:hint="cs"/>
          <w:rtl/>
        </w:rPr>
        <w:t xml:space="preserve">סעיף </w:t>
      </w:r>
      <w:r>
        <w:rPr>
          <w:rFonts w:hint="cs"/>
          <w:rtl/>
        </w:rPr>
        <w:t>4</w:t>
      </w:r>
      <w:r w:rsidR="009010AF">
        <w:rPr>
          <w:rFonts w:hint="cs"/>
          <w:rtl/>
        </w:rPr>
        <w:t xml:space="preserve"> </w:t>
      </w:r>
      <w:r>
        <w:rPr>
          <w:rFonts w:hint="cs"/>
          <w:rtl/>
        </w:rPr>
        <w:t xml:space="preserve">להצעת החוק מוצע להוסיף את הפרתו של </w:t>
      </w:r>
      <w:r>
        <w:rPr>
          <w:rtl/>
        </w:rPr>
        <w:t xml:space="preserve">חוק הגבלת משקל בתעשיית הדוגמנות </w:t>
      </w:r>
      <w:r w:rsidR="006C1FB3">
        <w:rPr>
          <w:rFonts w:hint="cs"/>
          <w:rtl/>
        </w:rPr>
        <w:t>לרשימת ההפרות האסורות לשידור לפי חוק הרשות השני</w:t>
      </w:r>
      <w:r w:rsidR="009010AF">
        <w:rPr>
          <w:rFonts w:hint="cs"/>
          <w:rtl/>
        </w:rPr>
        <w:t>י</w:t>
      </w:r>
      <w:r w:rsidR="006C1FB3">
        <w:rPr>
          <w:rFonts w:hint="cs"/>
          <w:rtl/>
        </w:rPr>
        <w:t>ה לטלויזיה ורדיו וזאת נוכח תפקידה המרכזי של הרשות בתחום בו עוסק חוק זה</w:t>
      </w:r>
      <w:r w:rsidR="009010AF">
        <w:rPr>
          <w:rFonts w:hint="cs"/>
          <w:rtl/>
        </w:rPr>
        <w:t>.</w:t>
      </w:r>
    </w:p>
    <w:p w14:paraId="1BB80DE8" w14:textId="61F693B4" w:rsidR="00A64C50" w:rsidRDefault="00A64C50" w:rsidP="00226ECF">
      <w:pPr>
        <w:pStyle w:val="Hesber"/>
        <w:rPr>
          <w:rtl/>
        </w:rPr>
      </w:pPr>
    </w:p>
    <w:p w14:paraId="0BF8C6FD" w14:textId="77777777" w:rsidR="00A64C50" w:rsidRDefault="00A64C50" w:rsidP="00226ECF">
      <w:pPr>
        <w:pStyle w:val="Hesber"/>
        <w:rPr>
          <w:rtl/>
        </w:rPr>
      </w:pPr>
    </w:p>
    <w:p w14:paraId="124E517C" w14:textId="77777777" w:rsidR="00A64C50" w:rsidRPr="009E693C" w:rsidRDefault="00A64C50" w:rsidP="00226ECF">
      <w:pPr>
        <w:pStyle w:val="Hesber"/>
        <w:rPr>
          <w:rtl/>
        </w:rPr>
      </w:pPr>
    </w:p>
    <w:p w14:paraId="034695D7" w14:textId="77777777" w:rsidR="00A64C50" w:rsidRPr="00D73212" w:rsidRDefault="00A64C50" w:rsidP="00A64C50">
      <w:pPr>
        <w:pStyle w:val="Hesber"/>
        <w:rPr>
          <w:color w:val="auto"/>
          <w:rtl/>
          <w:lang w:eastAsia="en-US"/>
        </w:rPr>
      </w:pPr>
      <w:r w:rsidRPr="00D73212">
        <w:rPr>
          <w:color w:val="auto"/>
          <w:rtl/>
          <w:lang w:eastAsia="en-US"/>
        </w:rPr>
        <w:t>---------------------------------</w:t>
      </w:r>
    </w:p>
    <w:p w14:paraId="45EF1A85" w14:textId="77777777" w:rsidR="00A64C50" w:rsidRPr="00D73212" w:rsidRDefault="00A64C50" w:rsidP="00A64C50">
      <w:pPr>
        <w:pStyle w:val="Hesber"/>
        <w:rPr>
          <w:color w:val="auto"/>
          <w:rtl/>
          <w:lang w:eastAsia="en-US"/>
        </w:rPr>
      </w:pPr>
      <w:r w:rsidRPr="00D73212">
        <w:rPr>
          <w:rFonts w:hint="cs"/>
          <w:color w:val="auto"/>
          <w:rtl/>
          <w:lang w:eastAsia="en-US"/>
        </w:rPr>
        <w:t>הוגשה</w:t>
      </w:r>
      <w:r w:rsidRPr="00D73212">
        <w:rPr>
          <w:color w:val="auto"/>
          <w:rtl/>
          <w:lang w:eastAsia="en-US"/>
        </w:rPr>
        <w:t xml:space="preserve"> </w:t>
      </w:r>
      <w:r w:rsidRPr="00D73212">
        <w:rPr>
          <w:rFonts w:hint="cs"/>
          <w:color w:val="auto"/>
          <w:rtl/>
          <w:lang w:eastAsia="en-US"/>
        </w:rPr>
        <w:t>ליו</w:t>
      </w:r>
      <w:r w:rsidRPr="00D73212">
        <w:rPr>
          <w:color w:val="auto"/>
          <w:rtl/>
          <w:lang w:eastAsia="en-US"/>
        </w:rPr>
        <w:t>"</w:t>
      </w:r>
      <w:r w:rsidRPr="00D73212">
        <w:rPr>
          <w:rFonts w:hint="cs"/>
          <w:color w:val="auto"/>
          <w:rtl/>
          <w:lang w:eastAsia="en-US"/>
        </w:rPr>
        <w:t>ר</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והסגנים</w:t>
      </w:r>
    </w:p>
    <w:p w14:paraId="00D929C1" w14:textId="77777777" w:rsidR="00A64C50" w:rsidRPr="00D73212" w:rsidRDefault="00A64C50" w:rsidP="00A64C50">
      <w:pPr>
        <w:pStyle w:val="Hesber"/>
        <w:rPr>
          <w:color w:val="auto"/>
          <w:rtl/>
          <w:lang w:eastAsia="en-US"/>
        </w:rPr>
      </w:pPr>
      <w:r w:rsidRPr="00D73212">
        <w:rPr>
          <w:rFonts w:hint="cs"/>
          <w:color w:val="auto"/>
          <w:rtl/>
          <w:lang w:eastAsia="en-US"/>
        </w:rPr>
        <w:t>והונחה</w:t>
      </w:r>
      <w:r w:rsidRPr="00D73212">
        <w:rPr>
          <w:color w:val="auto"/>
          <w:rtl/>
          <w:lang w:eastAsia="en-US"/>
        </w:rPr>
        <w:t xml:space="preserve"> </w:t>
      </w:r>
      <w:r w:rsidRPr="00D73212">
        <w:rPr>
          <w:rFonts w:hint="cs"/>
          <w:color w:val="auto"/>
          <w:rtl/>
          <w:lang w:eastAsia="en-US"/>
        </w:rPr>
        <w:t>על</w:t>
      </w:r>
      <w:r w:rsidRPr="00D73212">
        <w:rPr>
          <w:color w:val="auto"/>
          <w:rtl/>
          <w:lang w:eastAsia="en-US"/>
        </w:rPr>
        <w:t xml:space="preserve"> </w:t>
      </w:r>
      <w:r w:rsidRPr="00D73212">
        <w:rPr>
          <w:rFonts w:hint="cs"/>
          <w:color w:val="auto"/>
          <w:rtl/>
          <w:lang w:eastAsia="en-US"/>
        </w:rPr>
        <w:t>שולחן</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ביום</w:t>
      </w:r>
    </w:p>
    <w:p w14:paraId="26237588" w14:textId="77777777" w:rsidR="00A64C50" w:rsidRPr="00317312" w:rsidRDefault="00A64C50" w:rsidP="00A64C50">
      <w:pPr>
        <w:pStyle w:val="Hesber"/>
      </w:pPr>
      <w:r>
        <w:rPr>
          <w:rFonts w:hint="cs"/>
          <w:color w:val="auto"/>
          <w:rtl/>
          <w:lang w:eastAsia="en-US"/>
        </w:rPr>
        <w:t>י"א באדר ב'</w:t>
      </w:r>
      <w:r w:rsidRPr="00D73212">
        <w:rPr>
          <w:color w:val="auto"/>
          <w:rtl/>
          <w:lang w:eastAsia="en-US"/>
        </w:rPr>
        <w:t xml:space="preserve"> </w:t>
      </w:r>
      <w:r w:rsidRPr="00D73212">
        <w:rPr>
          <w:rFonts w:hint="cs"/>
          <w:color w:val="auto"/>
          <w:rtl/>
          <w:lang w:eastAsia="en-US"/>
        </w:rPr>
        <w:t>התשע</w:t>
      </w:r>
      <w:r w:rsidRPr="00D73212">
        <w:rPr>
          <w:color w:val="auto"/>
          <w:rtl/>
          <w:lang w:eastAsia="en-US"/>
        </w:rPr>
        <w:t>"</w:t>
      </w:r>
      <w:r>
        <w:rPr>
          <w:rFonts w:hint="cs"/>
          <w:color w:val="auto"/>
          <w:rtl/>
          <w:lang w:eastAsia="en-US"/>
        </w:rPr>
        <w:t>ו</w:t>
      </w:r>
      <w:r w:rsidRPr="00D73212">
        <w:rPr>
          <w:color w:val="auto"/>
          <w:rtl/>
          <w:lang w:eastAsia="en-US"/>
        </w:rPr>
        <w:t xml:space="preserve"> – </w:t>
      </w:r>
      <w:r>
        <w:rPr>
          <w:rFonts w:hint="cs"/>
          <w:color w:val="auto"/>
          <w:rtl/>
          <w:lang w:eastAsia="en-US"/>
        </w:rPr>
        <w:t>21.3</w:t>
      </w:r>
      <w:r w:rsidRPr="00D73212">
        <w:rPr>
          <w:color w:val="auto"/>
          <w:rtl/>
          <w:lang w:eastAsia="en-US"/>
        </w:rPr>
        <w:t>.1</w:t>
      </w:r>
      <w:r>
        <w:rPr>
          <w:rFonts w:hint="cs"/>
          <w:color w:val="auto"/>
          <w:rtl/>
          <w:lang w:eastAsia="en-US"/>
        </w:rPr>
        <w:t>6</w:t>
      </w:r>
    </w:p>
    <w:p w14:paraId="7F6961CB" w14:textId="77777777" w:rsidR="00E13C27" w:rsidRPr="00A64C50" w:rsidRDefault="00E13C27" w:rsidP="00E13C27">
      <w:pPr>
        <w:pStyle w:val="Hesber"/>
        <w:rPr>
          <w:rtl/>
        </w:rPr>
      </w:pPr>
    </w:p>
    <w:sectPr w:rsidR="00E13C27" w:rsidRPr="00A64C50" w:rsidSect="001207F8">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88A69" w14:textId="77777777" w:rsidR="00A942C1" w:rsidRDefault="00A942C1">
      <w:r>
        <w:separator/>
      </w:r>
    </w:p>
  </w:endnote>
  <w:endnote w:type="continuationSeparator" w:id="0">
    <w:p w14:paraId="318F26FB" w14:textId="77777777" w:rsidR="00A942C1" w:rsidRDefault="00A942C1">
      <w:r>
        <w:continuationSeparator/>
      </w:r>
    </w:p>
  </w:endnote>
  <w:endnote w:type="continuationNotice" w:id="1">
    <w:p w14:paraId="6BE48FD5" w14:textId="77777777" w:rsidR="00A942C1" w:rsidRDefault="00A942C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7F6961D6" w14:textId="77777777" w:rsidR="002C3041" w:rsidRDefault="002C304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9E1EE8">
      <w:rPr>
        <w:rStyle w:val="ab"/>
        <w:noProof/>
        <w:rtl/>
      </w:rPr>
      <w:t>2</w:t>
    </w:r>
    <w:r>
      <w:rPr>
        <w:rStyle w:val="ab"/>
        <w:rtl/>
      </w:rPr>
      <w:fldChar w:fldCharType="end"/>
    </w:r>
  </w:p>
  <w:p w14:paraId="7F6961D8" w14:textId="77777777" w:rsidR="002C3041" w:rsidRDefault="002C304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7B9F2" w14:textId="77777777" w:rsidR="00A942C1" w:rsidRDefault="00A942C1">
      <w:r>
        <w:separator/>
      </w:r>
    </w:p>
  </w:footnote>
  <w:footnote w:type="continuationSeparator" w:id="0">
    <w:p w14:paraId="3DB92342" w14:textId="77777777" w:rsidR="00A942C1" w:rsidRDefault="00A942C1">
      <w:r>
        <w:continuationSeparator/>
      </w:r>
    </w:p>
  </w:footnote>
  <w:footnote w:type="continuationNotice" w:id="1">
    <w:p w14:paraId="16009878" w14:textId="77777777" w:rsidR="00A942C1" w:rsidRDefault="00A942C1"/>
  </w:footnote>
  <w:footnote w:id="2">
    <w:p w14:paraId="077ECB7D" w14:textId="630CA8FC" w:rsidR="006C1FB3" w:rsidRDefault="006C1FB3" w:rsidP="00F90375">
      <w:pPr>
        <w:pStyle w:val="a4"/>
      </w:pPr>
      <w:r>
        <w:rPr>
          <w:rStyle w:val="a6"/>
        </w:rPr>
        <w:footnoteRef/>
      </w:r>
      <w:r>
        <w:rPr>
          <w:rtl/>
        </w:rPr>
        <w:t xml:space="preserve"> ס"ח התשע"ב, עמ' </w:t>
      </w:r>
      <w:r w:rsidR="00F90375">
        <w:rPr>
          <w:rFonts w:hint="cs"/>
          <w:rtl/>
        </w:rPr>
        <w:t>230.</w:t>
      </w:r>
    </w:p>
  </w:footnote>
  <w:footnote w:id="3">
    <w:p w14:paraId="206A8F7B" w14:textId="6E3853AE" w:rsidR="007D300B" w:rsidRDefault="007D300B" w:rsidP="007D300B">
      <w:pPr>
        <w:pStyle w:val="a4"/>
      </w:pPr>
      <w:r>
        <w:rPr>
          <w:rStyle w:val="a6"/>
        </w:rPr>
        <w:footnoteRef/>
      </w:r>
      <w:r>
        <w:rPr>
          <w:rtl/>
        </w:rPr>
        <w:t xml:space="preserve"> </w:t>
      </w:r>
      <w:r w:rsidRPr="007D300B">
        <w:rPr>
          <w:rtl/>
        </w:rPr>
        <w:t>דינ</w:t>
      </w:r>
      <w:r>
        <w:rPr>
          <w:rtl/>
        </w:rPr>
        <w:t>י מדינת ישראל [נוסח חדש] מס' 10</w:t>
      </w:r>
      <w:r>
        <w:rPr>
          <w:rFonts w:hint="cs"/>
          <w:rtl/>
        </w:rPr>
        <w:t xml:space="preserve">, </w:t>
      </w:r>
      <w:r w:rsidRPr="007D300B">
        <w:rPr>
          <w:rtl/>
        </w:rPr>
        <w:t>עמ' 266.</w:t>
      </w:r>
    </w:p>
  </w:footnote>
  <w:footnote w:id="4">
    <w:p w14:paraId="039F6987" w14:textId="2C7BC3F9" w:rsidR="007D300B" w:rsidRDefault="007D300B" w:rsidP="007D300B">
      <w:pPr>
        <w:pStyle w:val="a4"/>
      </w:pPr>
      <w:r>
        <w:rPr>
          <w:rStyle w:val="a6"/>
        </w:rPr>
        <w:footnoteRef/>
      </w:r>
      <w:r>
        <w:rPr>
          <w:rtl/>
        </w:rPr>
        <w:t xml:space="preserve"> </w:t>
      </w:r>
      <w:r w:rsidRPr="007D300B">
        <w:rPr>
          <w:rtl/>
        </w:rPr>
        <w:t xml:space="preserve">ס"ח </w:t>
      </w:r>
      <w:r>
        <w:rPr>
          <w:rFonts w:hint="cs"/>
          <w:rtl/>
        </w:rPr>
        <w:t>ה</w:t>
      </w:r>
      <w:r>
        <w:rPr>
          <w:rtl/>
        </w:rPr>
        <w:t>תשל"ז</w:t>
      </w:r>
      <w:r>
        <w:rPr>
          <w:rFonts w:hint="cs"/>
          <w:rtl/>
        </w:rPr>
        <w:t xml:space="preserve">, </w:t>
      </w:r>
      <w:r w:rsidRPr="007D300B">
        <w:rPr>
          <w:rtl/>
        </w:rPr>
        <w:t>עמ' 226.</w:t>
      </w:r>
    </w:p>
  </w:footnote>
  <w:footnote w:id="5">
    <w:p w14:paraId="15FDB0BF" w14:textId="77777777" w:rsidR="00382E29" w:rsidRDefault="00382E29" w:rsidP="006C1FB3">
      <w:pPr>
        <w:pStyle w:val="a4"/>
      </w:pPr>
      <w:r>
        <w:rPr>
          <w:rStyle w:val="a6"/>
        </w:rPr>
        <w:footnoteRef/>
      </w:r>
      <w:r>
        <w:rPr>
          <w:rtl/>
        </w:rPr>
        <w:t xml:space="preserve"> ס"ח התש"ן, עמ' 59.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8D0840"/>
    <w:multiLevelType w:val="hybridMultilevel"/>
    <w:tmpl w:val="B7B6435E"/>
    <w:lvl w:ilvl="0" w:tplc="329E1CBC">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7C7606"/>
    <w:multiLevelType w:val="hybridMultilevel"/>
    <w:tmpl w:val="1C58C0E4"/>
    <w:lvl w:ilvl="0" w:tplc="EC46DDF4">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1"/>
  </w:num>
  <w:num w:numId="14">
    <w:abstractNumId w:val="15"/>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16259"/>
    <w:rsid w:val="00063A3E"/>
    <w:rsid w:val="00072CAC"/>
    <w:rsid w:val="0007681A"/>
    <w:rsid w:val="000A542E"/>
    <w:rsid w:val="000C3994"/>
    <w:rsid w:val="000C49AD"/>
    <w:rsid w:val="000E59F4"/>
    <w:rsid w:val="000F09D3"/>
    <w:rsid w:val="00102B6B"/>
    <w:rsid w:val="001052D4"/>
    <w:rsid w:val="0010644B"/>
    <w:rsid w:val="001207F8"/>
    <w:rsid w:val="00121924"/>
    <w:rsid w:val="001279A8"/>
    <w:rsid w:val="0014195F"/>
    <w:rsid w:val="00152609"/>
    <w:rsid w:val="00153E1B"/>
    <w:rsid w:val="001A0623"/>
    <w:rsid w:val="001C23B0"/>
    <w:rsid w:val="001D0386"/>
    <w:rsid w:val="001D7AAF"/>
    <w:rsid w:val="00203A7F"/>
    <w:rsid w:val="0021633A"/>
    <w:rsid w:val="002200A1"/>
    <w:rsid w:val="00226ECF"/>
    <w:rsid w:val="002362BF"/>
    <w:rsid w:val="00241B97"/>
    <w:rsid w:val="002425D1"/>
    <w:rsid w:val="00246756"/>
    <w:rsid w:val="00251E58"/>
    <w:rsid w:val="00254605"/>
    <w:rsid w:val="00266D86"/>
    <w:rsid w:val="002728B4"/>
    <w:rsid w:val="0027600C"/>
    <w:rsid w:val="00284BCE"/>
    <w:rsid w:val="00292712"/>
    <w:rsid w:val="002A487D"/>
    <w:rsid w:val="002C2E29"/>
    <w:rsid w:val="002C3041"/>
    <w:rsid w:val="002D1EE3"/>
    <w:rsid w:val="002F1D80"/>
    <w:rsid w:val="003232A2"/>
    <w:rsid w:val="00325C14"/>
    <w:rsid w:val="0036422C"/>
    <w:rsid w:val="003710F6"/>
    <w:rsid w:val="00382E29"/>
    <w:rsid w:val="00386E88"/>
    <w:rsid w:val="00396585"/>
    <w:rsid w:val="003D6E38"/>
    <w:rsid w:val="003D74A0"/>
    <w:rsid w:val="00400591"/>
    <w:rsid w:val="004033D8"/>
    <w:rsid w:val="004073F0"/>
    <w:rsid w:val="00412A7D"/>
    <w:rsid w:val="00416B4D"/>
    <w:rsid w:val="00417CFC"/>
    <w:rsid w:val="004905E3"/>
    <w:rsid w:val="004A06DC"/>
    <w:rsid w:val="004B24ED"/>
    <w:rsid w:val="004B6625"/>
    <w:rsid w:val="004D2D82"/>
    <w:rsid w:val="004D3876"/>
    <w:rsid w:val="004D677D"/>
    <w:rsid w:val="004E4552"/>
    <w:rsid w:val="004E6CDF"/>
    <w:rsid w:val="00553C9D"/>
    <w:rsid w:val="00562A66"/>
    <w:rsid w:val="005854FF"/>
    <w:rsid w:val="005B064E"/>
    <w:rsid w:val="005D51AE"/>
    <w:rsid w:val="0062674B"/>
    <w:rsid w:val="006363B2"/>
    <w:rsid w:val="00644940"/>
    <w:rsid w:val="006544D3"/>
    <w:rsid w:val="00671F9B"/>
    <w:rsid w:val="006818A9"/>
    <w:rsid w:val="006A2D81"/>
    <w:rsid w:val="006C1D0D"/>
    <w:rsid w:val="006C1FB3"/>
    <w:rsid w:val="0070601E"/>
    <w:rsid w:val="00712C72"/>
    <w:rsid w:val="00735FE9"/>
    <w:rsid w:val="00763CAA"/>
    <w:rsid w:val="00765F66"/>
    <w:rsid w:val="0078664F"/>
    <w:rsid w:val="007B5211"/>
    <w:rsid w:val="007C2A2D"/>
    <w:rsid w:val="007C3FA6"/>
    <w:rsid w:val="007D300B"/>
    <w:rsid w:val="007D585A"/>
    <w:rsid w:val="007D5A12"/>
    <w:rsid w:val="007E59F9"/>
    <w:rsid w:val="00810BCD"/>
    <w:rsid w:val="00812C98"/>
    <w:rsid w:val="00814D92"/>
    <w:rsid w:val="0083181D"/>
    <w:rsid w:val="00843EB2"/>
    <w:rsid w:val="00865572"/>
    <w:rsid w:val="00874BBC"/>
    <w:rsid w:val="00875968"/>
    <w:rsid w:val="008765F2"/>
    <w:rsid w:val="00892135"/>
    <w:rsid w:val="00895449"/>
    <w:rsid w:val="00897879"/>
    <w:rsid w:val="008A56CF"/>
    <w:rsid w:val="008A6870"/>
    <w:rsid w:val="008C2DDC"/>
    <w:rsid w:val="008C7516"/>
    <w:rsid w:val="008E6EC7"/>
    <w:rsid w:val="008F0D63"/>
    <w:rsid w:val="008F1308"/>
    <w:rsid w:val="008F2C35"/>
    <w:rsid w:val="008F6665"/>
    <w:rsid w:val="009010AF"/>
    <w:rsid w:val="00904591"/>
    <w:rsid w:val="00905E5F"/>
    <w:rsid w:val="0091204F"/>
    <w:rsid w:val="009203DB"/>
    <w:rsid w:val="00923CD4"/>
    <w:rsid w:val="00930EFE"/>
    <w:rsid w:val="00943386"/>
    <w:rsid w:val="009456B6"/>
    <w:rsid w:val="00957589"/>
    <w:rsid w:val="00966D06"/>
    <w:rsid w:val="00982412"/>
    <w:rsid w:val="00983A8D"/>
    <w:rsid w:val="009A0DB8"/>
    <w:rsid w:val="009A7257"/>
    <w:rsid w:val="009D6E0A"/>
    <w:rsid w:val="009E1E33"/>
    <w:rsid w:val="009E1EE8"/>
    <w:rsid w:val="00A14672"/>
    <w:rsid w:val="00A26BD6"/>
    <w:rsid w:val="00A443CF"/>
    <w:rsid w:val="00A56DAD"/>
    <w:rsid w:val="00A64C50"/>
    <w:rsid w:val="00A6611D"/>
    <w:rsid w:val="00A810C2"/>
    <w:rsid w:val="00A82CB7"/>
    <w:rsid w:val="00A942C1"/>
    <w:rsid w:val="00AA2F03"/>
    <w:rsid w:val="00AC36F7"/>
    <w:rsid w:val="00AC63A4"/>
    <w:rsid w:val="00AD239E"/>
    <w:rsid w:val="00B10265"/>
    <w:rsid w:val="00B16A99"/>
    <w:rsid w:val="00B21211"/>
    <w:rsid w:val="00B35784"/>
    <w:rsid w:val="00B44967"/>
    <w:rsid w:val="00B563C3"/>
    <w:rsid w:val="00B733A7"/>
    <w:rsid w:val="00B75C91"/>
    <w:rsid w:val="00B975AD"/>
    <w:rsid w:val="00BC45FB"/>
    <w:rsid w:val="00BD2A21"/>
    <w:rsid w:val="00BF148D"/>
    <w:rsid w:val="00C23B1A"/>
    <w:rsid w:val="00C310EB"/>
    <w:rsid w:val="00C47D36"/>
    <w:rsid w:val="00C9176A"/>
    <w:rsid w:val="00C94F97"/>
    <w:rsid w:val="00CF1AA2"/>
    <w:rsid w:val="00D17774"/>
    <w:rsid w:val="00D33F3D"/>
    <w:rsid w:val="00D36870"/>
    <w:rsid w:val="00D63620"/>
    <w:rsid w:val="00D8410D"/>
    <w:rsid w:val="00D867D7"/>
    <w:rsid w:val="00DB7060"/>
    <w:rsid w:val="00DE3153"/>
    <w:rsid w:val="00E06736"/>
    <w:rsid w:val="00E13C27"/>
    <w:rsid w:val="00E15523"/>
    <w:rsid w:val="00E257F0"/>
    <w:rsid w:val="00E30BFA"/>
    <w:rsid w:val="00E33BBD"/>
    <w:rsid w:val="00E374F2"/>
    <w:rsid w:val="00E45103"/>
    <w:rsid w:val="00E55A60"/>
    <w:rsid w:val="00E62778"/>
    <w:rsid w:val="00E63D38"/>
    <w:rsid w:val="00E665B9"/>
    <w:rsid w:val="00EA01E6"/>
    <w:rsid w:val="00EA3DE8"/>
    <w:rsid w:val="00EA758F"/>
    <w:rsid w:val="00EC0605"/>
    <w:rsid w:val="00ED4A6F"/>
    <w:rsid w:val="00EF3A3A"/>
    <w:rsid w:val="00F018C3"/>
    <w:rsid w:val="00F628D6"/>
    <w:rsid w:val="00F67051"/>
    <w:rsid w:val="00F86A1E"/>
    <w:rsid w:val="00F90375"/>
    <w:rsid w:val="00FA5CC4"/>
    <w:rsid w:val="00FA5E88"/>
    <w:rsid w:val="00FE1E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771953FA-E07B-4FCD-992C-A7605892B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968"/>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875968"/>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875968"/>
    <w:rPr>
      <w:sz w:val="36"/>
      <w:szCs w:val="52"/>
    </w:rPr>
  </w:style>
  <w:style w:type="paragraph" w:customStyle="1" w:styleId="Cover3-Haknesset">
    <w:name w:val="Cover 3-Haknesset"/>
    <w:basedOn w:val="Cover1-Reshumot"/>
    <w:rsid w:val="00875968"/>
    <w:rPr>
      <w:b/>
      <w:bCs/>
      <w:spacing w:val="60"/>
    </w:rPr>
  </w:style>
  <w:style w:type="paragraph" w:customStyle="1" w:styleId="Cover4-Date">
    <w:name w:val="Cover 4-Date"/>
    <w:basedOn w:val="a"/>
    <w:rsid w:val="00875968"/>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875968"/>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875968"/>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875968"/>
    <w:pPr>
      <w:spacing w:before="120" w:after="120"/>
    </w:pPr>
    <w:rPr>
      <w:color w:val="FF0000"/>
      <w:w w:val="80"/>
    </w:rPr>
  </w:style>
  <w:style w:type="paragraph" w:styleId="a3">
    <w:name w:val="endnote text"/>
    <w:basedOn w:val="a"/>
    <w:semiHidden/>
    <w:rsid w:val="00875968"/>
    <w:pPr>
      <w:ind w:left="227" w:hanging="227"/>
    </w:pPr>
    <w:rPr>
      <w:sz w:val="14"/>
      <w:szCs w:val="22"/>
    </w:rPr>
  </w:style>
  <w:style w:type="paragraph" w:customStyle="1" w:styleId="TableText">
    <w:name w:val="Table Text"/>
    <w:basedOn w:val="a"/>
    <w:rsid w:val="00875968"/>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875968"/>
  </w:style>
  <w:style w:type="paragraph" w:customStyle="1" w:styleId="TableBlock">
    <w:name w:val="Table Block"/>
    <w:basedOn w:val="TableText"/>
    <w:rsid w:val="00875968"/>
    <w:pPr>
      <w:ind w:right="0"/>
      <w:jc w:val="both"/>
    </w:pPr>
  </w:style>
  <w:style w:type="paragraph" w:customStyle="1" w:styleId="TableHead">
    <w:name w:val="Table Head"/>
    <w:basedOn w:val="TableText"/>
    <w:rsid w:val="00875968"/>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875968"/>
  </w:style>
  <w:style w:type="paragraph" w:customStyle="1" w:styleId="Hesber">
    <w:name w:val="Hesber"/>
    <w:basedOn w:val="a"/>
    <w:rsid w:val="00875968"/>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rsid w:val="00875968"/>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aliases w:val="Footnote Reference"/>
    <w:basedOn w:val="a0"/>
    <w:rsid w:val="00875968"/>
    <w:rPr>
      <w:vertAlign w:val="superscript"/>
    </w:rPr>
  </w:style>
  <w:style w:type="paragraph" w:customStyle="1" w:styleId="HesberHeading">
    <w:name w:val="Hesber Heading"/>
    <w:basedOn w:val="Hesber"/>
    <w:rsid w:val="00875968"/>
    <w:pPr>
      <w:tabs>
        <w:tab w:val="left" w:pos="624"/>
        <w:tab w:val="left" w:pos="1247"/>
      </w:tabs>
      <w:ind w:firstLine="0"/>
    </w:pPr>
    <w:rPr>
      <w:b/>
      <w:bCs/>
    </w:rPr>
  </w:style>
  <w:style w:type="paragraph" w:customStyle="1" w:styleId="HesberWriters">
    <w:name w:val="Hesber Writers"/>
    <w:basedOn w:val="Hesber"/>
    <w:rsid w:val="00875968"/>
    <w:pPr>
      <w:spacing w:before="120" w:after="6000"/>
      <w:ind w:left="1418" w:firstLine="0"/>
      <w:jc w:val="right"/>
    </w:pPr>
    <w:rPr>
      <w:b/>
      <w:bCs/>
    </w:rPr>
  </w:style>
  <w:style w:type="paragraph" w:customStyle="1" w:styleId="Hesber1st">
    <w:name w:val="Hesber 1st"/>
    <w:basedOn w:val="Hesber"/>
    <w:rsid w:val="00875968"/>
    <w:pPr>
      <w:tabs>
        <w:tab w:val="left" w:pos="680"/>
        <w:tab w:val="left" w:pos="1020"/>
      </w:tabs>
      <w:ind w:firstLine="0"/>
    </w:pPr>
  </w:style>
  <w:style w:type="character" w:styleId="a7">
    <w:name w:val="endnote reference"/>
    <w:basedOn w:val="a0"/>
    <w:semiHidden/>
    <w:rsid w:val="00875968"/>
    <w:rPr>
      <w:vertAlign w:val="superscript"/>
    </w:rPr>
  </w:style>
  <w:style w:type="paragraph" w:customStyle="1" w:styleId="TableBlockOutdent">
    <w:name w:val="Table BlockOutdent"/>
    <w:basedOn w:val="TableBlock"/>
    <w:rsid w:val="00875968"/>
    <w:pPr>
      <w:ind w:left="624" w:hanging="624"/>
    </w:pPr>
  </w:style>
  <w:style w:type="paragraph" w:styleId="a8">
    <w:name w:val="header"/>
    <w:basedOn w:val="a"/>
    <w:rsid w:val="00875968"/>
    <w:pPr>
      <w:tabs>
        <w:tab w:val="center" w:pos="4153"/>
        <w:tab w:val="right" w:pos="8306"/>
      </w:tabs>
    </w:pPr>
  </w:style>
  <w:style w:type="paragraph" w:styleId="a9">
    <w:name w:val="footer"/>
    <w:basedOn w:val="a"/>
    <w:rsid w:val="00875968"/>
    <w:pPr>
      <w:tabs>
        <w:tab w:val="center" w:pos="4153"/>
        <w:tab w:val="right" w:pos="8306"/>
      </w:tabs>
    </w:pPr>
  </w:style>
  <w:style w:type="paragraph" w:customStyle="1" w:styleId="HeadDivreiHesber">
    <w:name w:val="Head DivreiHesber"/>
    <w:basedOn w:val="a"/>
    <w:rsid w:val="00875968"/>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875968"/>
    <w:pPr>
      <w:snapToGrid w:val="0"/>
      <w:spacing w:before="0" w:line="360" w:lineRule="auto"/>
      <w:jc w:val="left"/>
    </w:pPr>
    <w:rPr>
      <w:rFonts w:ascii="Arial" w:eastAsia="Arial Unicode MS" w:hAnsi="Arial" w:cs="David"/>
      <w:snapToGrid w:val="0"/>
      <w:spacing w:val="0"/>
      <w:sz w:val="20"/>
      <w:szCs w:val="26"/>
    </w:r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875968"/>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c">
    <w:name w:val="Balloon Text"/>
    <w:basedOn w:val="a"/>
    <w:link w:val="ad"/>
    <w:semiHidden/>
    <w:unhideWhenUsed/>
    <w:rsid w:val="00325C14"/>
    <w:pPr>
      <w:spacing w:before="0"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link w:val="a4"/>
    <w:rsid w:val="006C1FB3"/>
    <w:rPr>
      <w:rFonts w:ascii="Arial" w:eastAsia="Arial Unicode MS" w:hAnsi="Arial" w:cs="David"/>
      <w:snapToGrid w:val="0"/>
      <w:color w:val="000000"/>
      <w:sz w:val="14"/>
      <w:lang w:eastAsia="ja-JP"/>
    </w:rPr>
  </w:style>
  <w:style w:type="character" w:styleId="ae">
    <w:name w:val="annotation reference"/>
    <w:basedOn w:val="a0"/>
    <w:semiHidden/>
    <w:unhideWhenUsed/>
    <w:rsid w:val="00382E29"/>
    <w:rPr>
      <w:sz w:val="16"/>
      <w:szCs w:val="16"/>
    </w:rPr>
  </w:style>
  <w:style w:type="paragraph" w:styleId="af">
    <w:name w:val="annotation text"/>
    <w:basedOn w:val="a"/>
    <w:link w:val="af0"/>
    <w:semiHidden/>
    <w:unhideWhenUsed/>
    <w:rsid w:val="00382E29"/>
    <w:pPr>
      <w:spacing w:line="240" w:lineRule="auto"/>
    </w:pPr>
    <w:rPr>
      <w:sz w:val="20"/>
      <w:szCs w:val="20"/>
    </w:rPr>
  </w:style>
  <w:style w:type="character" w:customStyle="1" w:styleId="af0">
    <w:name w:val="טקסט הערה תו"/>
    <w:basedOn w:val="a0"/>
    <w:link w:val="af"/>
    <w:semiHidden/>
    <w:rsid w:val="00382E29"/>
    <w:rPr>
      <w:rFonts w:ascii="Hadasa Roso SL" w:hAnsi="Hadasa Roso SL" w:cs="Hadasa Roso SL"/>
      <w:color w:val="000000"/>
      <w:spacing w:val="1"/>
      <w:lang w:eastAsia="ja-JP"/>
    </w:rPr>
  </w:style>
  <w:style w:type="paragraph" w:styleId="af1">
    <w:name w:val="annotation subject"/>
    <w:basedOn w:val="af"/>
    <w:next w:val="af"/>
    <w:link w:val="af2"/>
    <w:semiHidden/>
    <w:unhideWhenUsed/>
    <w:rsid w:val="00382E29"/>
    <w:rPr>
      <w:b/>
      <w:bCs/>
    </w:rPr>
  </w:style>
  <w:style w:type="character" w:customStyle="1" w:styleId="af2">
    <w:name w:val="נושא הערה תו"/>
    <w:basedOn w:val="af0"/>
    <w:link w:val="af1"/>
    <w:semiHidden/>
    <w:rsid w:val="00382E29"/>
    <w:rPr>
      <w:rFonts w:ascii="Hadasa Roso SL" w:hAnsi="Hadasa Roso SL" w:cs="Hadasa Roso SL"/>
      <w:b/>
      <w:bCs/>
      <w:color w:val="000000"/>
      <w:spacing w:val="1"/>
      <w:lang w:eastAsia="ja-JP"/>
    </w:rPr>
  </w:style>
  <w:style w:type="character" w:customStyle="1" w:styleId="apple-converted-space">
    <w:name w:val="apple-converted-space"/>
    <w:basedOn w:val="a0"/>
    <w:rsid w:val="00C47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86EB84DF20CE4D8D9D1A5C7A92FD24" ma:contentTypeVersion="0" ma:contentTypeDescription="Create a new document." ma:contentTypeScope="" ma:versionID="99fd2faca98684dfaf8c37f6393491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4AFE3-9455-419C-8851-785A55F44517}">
  <ds:schemaRefs>
    <ds:schemaRef ds:uri="http://schemas.microsoft.com/office/2006/metadata/properties"/>
    <ds:schemaRef ds:uri="http://schemas.microsoft.com/office/2006/documentManagement/types"/>
    <ds:schemaRef ds:uri="http://purl.org/dc/terms/"/>
    <ds:schemaRef ds:uri="http://purl.org/dc/dcmitype/"/>
    <ds:schemaRef ds:uri="http://purl.org/dc/elements/1.1/"/>
    <ds:schemaRef ds:uri="http://schemas.openxmlformats.org/package/2006/metadata/core-properti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50A25B4D-24EA-4307-951E-68631B4D6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4.xml><?xml version="1.0" encoding="utf-8"?>
<ds:datastoreItem xmlns:ds="http://schemas.openxmlformats.org/officeDocument/2006/customXml" ds:itemID="{D1CEE222-FF1F-440C-97DC-C57A09E5C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3</Pages>
  <Words>632</Words>
  <Characters>3161</Characters>
  <Application>Microsoft Office Word</Application>
  <DocSecurity>0</DocSecurity>
  <Lines>26</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3786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לילך יעיש</cp:lastModifiedBy>
  <cp:revision>37</cp:revision>
  <cp:lastPrinted>2016-03-17T13:30:00Z</cp:lastPrinted>
  <dcterms:created xsi:type="dcterms:W3CDTF">2015-04-20T09:58:00Z</dcterms:created>
  <dcterms:modified xsi:type="dcterms:W3CDTF">2016-03-17T13:32:00Z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0x0101008386EB84DF20CE4D8D9D1A5C7A92FD24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577061</vt:r8>
  </property>
</Properties>
</file>