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E17DA" w14:textId="77777777" w:rsidR="003C499E" w:rsidRPr="0000131B" w:rsidRDefault="003C499E" w:rsidP="003C499E">
      <w:pPr>
        <w:pStyle w:val="HeadHatzaotHok"/>
        <w:jc w:val="right"/>
        <w:rPr>
          <w:b w:val="0"/>
          <w:bCs w:val="0"/>
          <w:szCs w:val="20"/>
        </w:rPr>
      </w:pPr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b w:val="0"/>
          <w:bCs w:val="0"/>
          <w:szCs w:val="20"/>
          <w:rtl/>
        </w:rPr>
        <w:t>573784</w:t>
      </w:r>
      <w:bookmarkEnd w:id="0"/>
    </w:p>
    <w:p w14:paraId="2EF5F59D" w14:textId="77777777" w:rsidR="003C499E" w:rsidRPr="00DB7060" w:rsidRDefault="003C499E" w:rsidP="003C499E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</w:t>
      </w:r>
      <w:bookmarkEnd w:id="1"/>
    </w:p>
    <w:p w14:paraId="2CDC65B2" w14:textId="77777777" w:rsidR="003C499E" w:rsidRPr="00F67051" w:rsidRDefault="003C499E" w:rsidP="003C499E">
      <w:pPr>
        <w:rPr>
          <w:rFonts w:cs="David"/>
          <w:b/>
          <w:bCs/>
          <w:sz w:val="26"/>
          <w:szCs w:val="26"/>
          <w:rtl/>
        </w:rPr>
      </w:pPr>
    </w:p>
    <w:p w14:paraId="36C61F51" w14:textId="0CDF177E" w:rsidR="003C499E" w:rsidRPr="00904591" w:rsidRDefault="003C499E" w:rsidP="005D79BF">
      <w:pPr>
        <w:pStyle w:val="David"/>
        <w:spacing w:line="360" w:lineRule="auto"/>
        <w:ind w:left="3544"/>
        <w:rPr>
          <w:sz w:val="4"/>
          <w:szCs w:val="4"/>
          <w:rtl/>
        </w:rPr>
      </w:pPr>
      <w:bookmarkStart w:id="2" w:name="LGS_Initiators_List"/>
      <w:r>
        <w:rPr>
          <w:b/>
          <w:bCs/>
          <w:rtl/>
        </w:rPr>
        <w:t>יוזמים:      חברי הכנסת</w:t>
      </w:r>
      <w:bookmarkEnd w:id="2"/>
      <w:r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שרן השכל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שולי מועלם-רפאלי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רחל עזריה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קארין אלהרר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מיכל רוזין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תמר זנדברג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יעל גרמן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סופה לנדבר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טלי פלוסקוב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מירב בן ארי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נאוה בוקר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יפעת שאשא ביטון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איילת נחמיאס ורבין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קסניה סבטלובה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מיכל בירן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זהבה גלאון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יעל כהן-פארן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נורית קורן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עליזה לביא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מרב מיכאלי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חנין זועבי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אורלי לוי אבקסיס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עאידה תומא סלימאן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סתיו שפיר</w:t>
      </w:r>
      <w:bookmarkStart w:id="4" w:name="LGS_Join_List"/>
      <w:bookmarkEnd w:id="3"/>
      <w:r>
        <w:rPr>
          <w:rtl/>
        </w:rPr>
        <w:t xml:space="preserve"> </w:t>
      </w:r>
      <w:bookmarkEnd w:id="4"/>
      <w:r w:rsidRPr="00CF1AA2">
        <w:rPr>
          <w:rFonts w:hint="cs"/>
          <w:rtl/>
        </w:rPr>
        <w:tab/>
      </w:r>
      <w:bookmarkStart w:id="5" w:name="LGS_PM_NamesJoin"/>
      <w:r>
        <w:rPr>
          <w:rFonts w:hint="cs"/>
          <w:rtl/>
        </w:rPr>
        <w:t xml:space="preserve"> </w:t>
      </w:r>
      <w:bookmarkEnd w:id="5"/>
      <w:r>
        <w:t>______________________________________________</w:t>
      </w:r>
      <w:r w:rsidRPr="00E06736">
        <w:tab/>
      </w:r>
      <w:r w:rsidRPr="00E06736">
        <w:rPr>
          <w:rFonts w:hint="cs"/>
          <w:rtl/>
        </w:rPr>
        <w:tab/>
      </w:r>
      <w:r w:rsidRPr="00E06736">
        <w:rPr>
          <w:rFonts w:hint="cs"/>
          <w:rtl/>
        </w:rPr>
        <w:tab/>
      </w:r>
      <w:r w:rsidRPr="00E06736">
        <w:rPr>
          <w:rFonts w:hint="cs"/>
          <w:rtl/>
        </w:rPr>
        <w:tab/>
      </w:r>
      <w:r>
        <w:t xml:space="preserve">           </w:t>
      </w:r>
    </w:p>
    <w:p w14:paraId="69AC3E64" w14:textId="77777777" w:rsidR="003C499E" w:rsidRPr="00E06736" w:rsidRDefault="003C499E" w:rsidP="003C499E">
      <w:pPr>
        <w:pStyle w:val="David"/>
        <w:spacing w:before="0" w:line="240" w:lineRule="auto"/>
        <w:ind w:left="3544"/>
        <w:rPr>
          <w:rtl/>
        </w:rPr>
      </w:pPr>
      <w:r>
        <w:t xml:space="preserve">                                             </w:t>
      </w:r>
      <w:bookmarkStart w:id="6" w:name="Private_Number"/>
      <w:r>
        <w:rPr>
          <w:rFonts w:hint="cs"/>
          <w:rtl/>
        </w:rPr>
        <w:t>פ/2593/20</w:t>
      </w:r>
      <w:bookmarkEnd w:id="6"/>
    </w:p>
    <w:p w14:paraId="0FE2659D" w14:textId="77777777" w:rsidR="003C499E" w:rsidRDefault="003C499E" w:rsidP="003C499E">
      <w:pPr>
        <w:spacing w:before="0" w:line="360" w:lineRule="auto"/>
        <w:ind w:left="2880" w:firstLine="720"/>
        <w:rPr>
          <w:rFonts w:cs="David"/>
          <w:sz w:val="26"/>
          <w:szCs w:val="26"/>
          <w:rtl/>
        </w:rPr>
      </w:pPr>
    </w:p>
    <w:p w14:paraId="2DAD2322" w14:textId="77777777" w:rsidR="005D79BF" w:rsidRDefault="003C499E" w:rsidP="005D79BF">
      <w:pPr>
        <w:pStyle w:val="HeadHatzaotHok"/>
        <w:spacing w:before="0"/>
        <w:rPr>
          <w:rtl/>
        </w:rPr>
      </w:pPr>
      <w:bookmarkStart w:id="7" w:name="LGS_Subject"/>
      <w:r>
        <w:rPr>
          <w:rFonts w:hint="cs"/>
          <w:rtl/>
        </w:rPr>
        <w:t xml:space="preserve">הצעת חוק למניעת הטרדה מינית (תיקון </w:t>
      </w:r>
      <w:r w:rsidR="005D79BF">
        <w:rPr>
          <w:rFonts w:hint="eastAsia"/>
          <w:rtl/>
        </w:rPr>
        <w:t>–</w:t>
      </w:r>
      <w:r>
        <w:rPr>
          <w:rFonts w:hint="cs"/>
          <w:rtl/>
        </w:rPr>
        <w:t xml:space="preserve"> הרחבת תחולה על עובדים עצמאים ומתנדבים), </w:t>
      </w:r>
    </w:p>
    <w:p w14:paraId="7B60DEFF" w14:textId="597979EB" w:rsidR="003C499E" w:rsidRDefault="003C499E" w:rsidP="005D79BF">
      <w:pPr>
        <w:pStyle w:val="HeadHatzaotHok"/>
        <w:spacing w:before="0"/>
        <w:rPr>
          <w:rtl/>
        </w:rPr>
      </w:pPr>
      <w:r>
        <w:rPr>
          <w:rFonts w:hint="cs"/>
          <w:rtl/>
        </w:rPr>
        <w:t>התשע"ו</w:t>
      </w:r>
      <w:r w:rsidR="005D79BF">
        <w:rPr>
          <w:rFonts w:hint="eastAsia"/>
          <w:rtl/>
        </w:rPr>
        <w:t>–</w:t>
      </w:r>
      <w:r>
        <w:rPr>
          <w:rFonts w:hint="cs"/>
          <w:rtl/>
        </w:rPr>
        <w:t>2016</w:t>
      </w:r>
      <w:bookmarkEnd w:id="7"/>
    </w:p>
    <w:p w14:paraId="77B0ECCD" w14:textId="77777777" w:rsidR="005D79BF" w:rsidRPr="00F67051" w:rsidRDefault="005D79BF" w:rsidP="005D79BF">
      <w:pPr>
        <w:pStyle w:val="HeadHatzaotHok"/>
        <w:spacing w:before="0"/>
        <w:rPr>
          <w:rtl/>
        </w:rPr>
      </w:pPr>
    </w:p>
    <w:tbl>
      <w:tblPr>
        <w:bidiVisual/>
        <w:tblW w:w="964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624"/>
        <w:gridCol w:w="624"/>
        <w:gridCol w:w="624"/>
        <w:gridCol w:w="624"/>
        <w:gridCol w:w="4650"/>
      </w:tblGrid>
      <w:tr w:rsidR="003C499E" w14:paraId="61AADC1B" w14:textId="77777777" w:rsidTr="007D7109">
        <w:trPr>
          <w:cantSplit/>
          <w:trHeight w:val="60"/>
        </w:trPr>
        <w:tc>
          <w:tcPr>
            <w:tcW w:w="1871" w:type="dxa"/>
          </w:tcPr>
          <w:p w14:paraId="189B1A11" w14:textId="205ACA5E" w:rsidR="003C499E" w:rsidRDefault="005D79BF" w:rsidP="007D7109">
            <w:pPr>
              <w:pStyle w:val="TableSideHeading"/>
              <w:keepLines w:val="0"/>
            </w:pPr>
            <w:r>
              <w:rPr>
                <w:rFonts w:hint="cs"/>
                <w:rtl/>
              </w:rPr>
              <w:t>החלפת סעיף 9</w:t>
            </w:r>
          </w:p>
        </w:tc>
        <w:tc>
          <w:tcPr>
            <w:tcW w:w="624" w:type="dxa"/>
          </w:tcPr>
          <w:p w14:paraId="1143BB2C" w14:textId="77777777" w:rsidR="003C499E" w:rsidRDefault="003C499E" w:rsidP="007D7109">
            <w:pPr>
              <w:pStyle w:val="TableText"/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7146" w:type="dxa"/>
            <w:gridSpan w:val="5"/>
          </w:tcPr>
          <w:p w14:paraId="6E7034EA" w14:textId="5612337E" w:rsidR="003C499E" w:rsidRDefault="003C499E" w:rsidP="007D7109">
            <w:pPr>
              <w:pStyle w:val="TableBlock"/>
              <w:keepLines w:val="0"/>
              <w:rPr>
                <w:rtl/>
              </w:rPr>
            </w:pPr>
            <w:r>
              <w:rPr>
                <w:rFonts w:hint="cs"/>
                <w:rtl/>
              </w:rPr>
              <w:t>בחוק למניעת הטרדה מינית, התשנ"ח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1998</w:t>
            </w:r>
            <w:r>
              <w:rPr>
                <w:rStyle w:val="a6"/>
                <w:rtl/>
              </w:rPr>
              <w:footnoteReference w:id="2"/>
            </w:r>
            <w:r w:rsidR="005D79BF">
              <w:rPr>
                <w:rFonts w:hint="cs"/>
                <w:rtl/>
              </w:rPr>
              <w:t>,</w:t>
            </w:r>
            <w:r>
              <w:rPr>
                <w:rFonts w:hint="cs"/>
                <w:rtl/>
              </w:rPr>
              <w:t xml:space="preserve"> במקום סעיף 9 יבוא:</w:t>
            </w:r>
          </w:p>
        </w:tc>
      </w:tr>
      <w:tr w:rsidR="003C499E" w14:paraId="6E867112" w14:textId="77777777" w:rsidTr="007D7109">
        <w:trPr>
          <w:cantSplit/>
          <w:trHeight w:val="60"/>
        </w:trPr>
        <w:tc>
          <w:tcPr>
            <w:tcW w:w="1871" w:type="dxa"/>
          </w:tcPr>
          <w:p w14:paraId="72CAF59C" w14:textId="77777777" w:rsidR="003C499E" w:rsidRDefault="003C499E" w:rsidP="007D7109">
            <w:pPr>
              <w:pStyle w:val="TableSideHeading"/>
              <w:keepLines w:val="0"/>
            </w:pPr>
          </w:p>
        </w:tc>
        <w:tc>
          <w:tcPr>
            <w:tcW w:w="624" w:type="dxa"/>
          </w:tcPr>
          <w:p w14:paraId="6F3D60E6" w14:textId="77777777" w:rsidR="003C499E" w:rsidRDefault="003C499E" w:rsidP="007D7109">
            <w:pPr>
              <w:pStyle w:val="TableText"/>
              <w:keepLines w:val="0"/>
            </w:pPr>
          </w:p>
        </w:tc>
        <w:tc>
          <w:tcPr>
            <w:tcW w:w="1872" w:type="dxa"/>
            <w:gridSpan w:val="3"/>
          </w:tcPr>
          <w:p w14:paraId="20BB41E1" w14:textId="77777777" w:rsidR="003C499E" w:rsidRDefault="003C499E" w:rsidP="007D7109">
            <w:pPr>
              <w:pStyle w:val="TableInnerSideHeading"/>
            </w:pPr>
            <w:r>
              <w:rPr>
                <w:rFonts w:hint="cs"/>
                <w:rtl/>
              </w:rPr>
              <w:t>"הרחבת תחולה</w:t>
            </w:r>
          </w:p>
        </w:tc>
        <w:tc>
          <w:tcPr>
            <w:tcW w:w="624" w:type="dxa"/>
          </w:tcPr>
          <w:p w14:paraId="4ADB24FC" w14:textId="77777777" w:rsidR="003C499E" w:rsidRDefault="003C499E" w:rsidP="007D7109">
            <w:pPr>
              <w:pStyle w:val="TableText"/>
            </w:pPr>
            <w:r>
              <w:rPr>
                <w:rFonts w:hint="cs"/>
                <w:rtl/>
              </w:rPr>
              <w:t>9.</w:t>
            </w:r>
          </w:p>
        </w:tc>
        <w:tc>
          <w:tcPr>
            <w:tcW w:w="4650" w:type="dxa"/>
          </w:tcPr>
          <w:p w14:paraId="5426C5FE" w14:textId="0D04D97B" w:rsidR="003C499E" w:rsidRDefault="003C499E" w:rsidP="007D7109">
            <w:pPr>
              <w:pStyle w:val="TableBlock"/>
            </w:pPr>
            <w:r>
              <w:rPr>
                <w:rFonts w:hint="cs"/>
                <w:rtl/>
              </w:rPr>
              <w:t>הוראות חוק זה לעניין מעסיק ועובד יחולו בשינויים המחויבים ולפי העני</w:t>
            </w:r>
            <w:r w:rsidR="005D79BF">
              <w:rPr>
                <w:rFonts w:hint="cs"/>
                <w:rtl/>
              </w:rPr>
              <w:t xml:space="preserve">ין, גם על </w:t>
            </w:r>
            <w:r w:rsidR="005D79BF">
              <w:rPr>
                <w:rFonts w:hint="eastAsia"/>
                <w:rtl/>
              </w:rPr>
              <w:t>–</w:t>
            </w:r>
          </w:p>
        </w:tc>
      </w:tr>
      <w:tr w:rsidR="005D79BF" w14:paraId="4ED3A221" w14:textId="77777777" w:rsidTr="007B39DD">
        <w:trPr>
          <w:cantSplit/>
          <w:trHeight w:val="60"/>
        </w:trPr>
        <w:tc>
          <w:tcPr>
            <w:tcW w:w="1871" w:type="dxa"/>
          </w:tcPr>
          <w:p w14:paraId="36ACAA8A" w14:textId="77777777" w:rsidR="005D79BF" w:rsidRDefault="005D79BF" w:rsidP="007D7109">
            <w:pPr>
              <w:pStyle w:val="TableSideHeading"/>
            </w:pPr>
          </w:p>
        </w:tc>
        <w:tc>
          <w:tcPr>
            <w:tcW w:w="624" w:type="dxa"/>
          </w:tcPr>
          <w:p w14:paraId="1917324C" w14:textId="77777777" w:rsidR="005D79BF" w:rsidRDefault="005D79BF" w:rsidP="007D7109">
            <w:pPr>
              <w:pStyle w:val="TableText"/>
            </w:pPr>
          </w:p>
        </w:tc>
        <w:tc>
          <w:tcPr>
            <w:tcW w:w="624" w:type="dxa"/>
          </w:tcPr>
          <w:p w14:paraId="29F14FFF" w14:textId="77777777" w:rsidR="005D79BF" w:rsidRDefault="005D79BF" w:rsidP="007D7109">
            <w:pPr>
              <w:pStyle w:val="TableText"/>
            </w:pPr>
          </w:p>
        </w:tc>
        <w:tc>
          <w:tcPr>
            <w:tcW w:w="624" w:type="dxa"/>
          </w:tcPr>
          <w:p w14:paraId="2996C0EE" w14:textId="77777777" w:rsidR="005D79BF" w:rsidRDefault="005D79BF" w:rsidP="007D7109">
            <w:pPr>
              <w:pStyle w:val="TableText"/>
            </w:pPr>
          </w:p>
        </w:tc>
        <w:tc>
          <w:tcPr>
            <w:tcW w:w="624" w:type="dxa"/>
          </w:tcPr>
          <w:p w14:paraId="17743564" w14:textId="77777777" w:rsidR="005D79BF" w:rsidRDefault="005D79BF" w:rsidP="007D7109">
            <w:pPr>
              <w:pStyle w:val="TableText"/>
            </w:pPr>
          </w:p>
        </w:tc>
        <w:tc>
          <w:tcPr>
            <w:tcW w:w="624" w:type="dxa"/>
          </w:tcPr>
          <w:p w14:paraId="60310961" w14:textId="77777777" w:rsidR="005D79BF" w:rsidRDefault="005D79BF" w:rsidP="007D7109">
            <w:pPr>
              <w:pStyle w:val="TableText"/>
            </w:pPr>
          </w:p>
        </w:tc>
        <w:tc>
          <w:tcPr>
            <w:tcW w:w="4650" w:type="dxa"/>
          </w:tcPr>
          <w:p w14:paraId="77F360C0" w14:textId="6D78D9C0" w:rsidR="005D79BF" w:rsidRPr="005D79BF" w:rsidRDefault="005D79BF" w:rsidP="005D79BF">
            <w:pPr>
              <w:pStyle w:val="TableBlock"/>
            </w:pPr>
            <w:r w:rsidRPr="005D79BF">
              <w:rPr>
                <w:rFonts w:hint="cs"/>
                <w:rtl/>
              </w:rPr>
              <w:t>(1)</w:t>
            </w:r>
            <w:r w:rsidRPr="005D79BF">
              <w:rPr>
                <w:rtl/>
              </w:rPr>
              <w:tab/>
            </w:r>
            <w:r w:rsidRPr="005D79BF">
              <w:rPr>
                <w:rFonts w:hint="cs"/>
                <w:rtl/>
              </w:rPr>
              <w:t>מי שמעסיק בפועל אדם באמצעות קבלן כוח אדם, ועל אדם המועסק כאמור;</w:t>
            </w:r>
          </w:p>
        </w:tc>
      </w:tr>
      <w:tr w:rsidR="005D79BF" w14:paraId="1DB46072" w14:textId="77777777" w:rsidTr="00383FF2">
        <w:trPr>
          <w:cantSplit/>
          <w:trHeight w:val="60"/>
        </w:trPr>
        <w:tc>
          <w:tcPr>
            <w:tcW w:w="1871" w:type="dxa"/>
          </w:tcPr>
          <w:p w14:paraId="27FFB9E9" w14:textId="77777777" w:rsidR="005D79BF" w:rsidRDefault="005D79BF" w:rsidP="007D7109">
            <w:pPr>
              <w:pStyle w:val="TableSideHeading"/>
            </w:pPr>
          </w:p>
        </w:tc>
        <w:tc>
          <w:tcPr>
            <w:tcW w:w="624" w:type="dxa"/>
          </w:tcPr>
          <w:p w14:paraId="188BE508" w14:textId="77777777" w:rsidR="005D79BF" w:rsidRDefault="005D79BF" w:rsidP="007D7109">
            <w:pPr>
              <w:pStyle w:val="TableText"/>
            </w:pPr>
          </w:p>
        </w:tc>
        <w:tc>
          <w:tcPr>
            <w:tcW w:w="624" w:type="dxa"/>
          </w:tcPr>
          <w:p w14:paraId="49DE1F06" w14:textId="77777777" w:rsidR="005D79BF" w:rsidRDefault="005D79BF" w:rsidP="007D7109">
            <w:pPr>
              <w:pStyle w:val="TableText"/>
            </w:pPr>
          </w:p>
        </w:tc>
        <w:tc>
          <w:tcPr>
            <w:tcW w:w="624" w:type="dxa"/>
          </w:tcPr>
          <w:p w14:paraId="69590F14" w14:textId="77777777" w:rsidR="005D79BF" w:rsidRDefault="005D79BF" w:rsidP="007D7109">
            <w:pPr>
              <w:pStyle w:val="TableText"/>
            </w:pPr>
          </w:p>
        </w:tc>
        <w:tc>
          <w:tcPr>
            <w:tcW w:w="624" w:type="dxa"/>
          </w:tcPr>
          <w:p w14:paraId="18A473AB" w14:textId="77777777" w:rsidR="005D79BF" w:rsidRDefault="005D79BF" w:rsidP="007D7109">
            <w:pPr>
              <w:pStyle w:val="TableText"/>
            </w:pPr>
          </w:p>
        </w:tc>
        <w:tc>
          <w:tcPr>
            <w:tcW w:w="624" w:type="dxa"/>
          </w:tcPr>
          <w:p w14:paraId="77F63531" w14:textId="77777777" w:rsidR="005D79BF" w:rsidRDefault="005D79BF" w:rsidP="007D7109">
            <w:pPr>
              <w:pStyle w:val="TableText"/>
            </w:pPr>
          </w:p>
        </w:tc>
        <w:tc>
          <w:tcPr>
            <w:tcW w:w="4650" w:type="dxa"/>
          </w:tcPr>
          <w:p w14:paraId="787E3B43" w14:textId="61881C8F" w:rsidR="005D79BF" w:rsidRPr="005D79BF" w:rsidRDefault="005D79BF" w:rsidP="005D79BF">
            <w:pPr>
              <w:pStyle w:val="TableBlock"/>
              <w:rPr>
                <w:rtl/>
              </w:rPr>
            </w:pPr>
            <w:r w:rsidRPr="005D79BF">
              <w:rPr>
                <w:rFonts w:hint="cs"/>
                <w:rtl/>
              </w:rPr>
              <w:t>(2)</w:t>
            </w:r>
            <w:r w:rsidRPr="005D79BF">
              <w:rPr>
                <w:rtl/>
              </w:rPr>
              <w:tab/>
            </w:r>
            <w:r w:rsidRPr="005D79BF">
              <w:rPr>
                <w:rFonts w:hint="cs"/>
                <w:rtl/>
              </w:rPr>
              <w:t>מי שהתקשר עם עובד עצמאי לקבלת שירות או לביצוע עבודה על ידי העובד העצמאי או באמצעות עובדיו, שלא באופן קבוע, ועל העובד ה</w:t>
            </w:r>
            <w:r w:rsidR="00820D48">
              <w:rPr>
                <w:rFonts w:hint="cs"/>
                <w:rtl/>
              </w:rPr>
              <w:t>עצמאי או עובדיו כאמור; לעניין פ</w:t>
            </w:r>
            <w:r w:rsidRPr="005D79BF">
              <w:rPr>
                <w:rFonts w:hint="cs"/>
                <w:rtl/>
              </w:rPr>
              <w:t>סקה זו</w:t>
            </w:r>
            <w:r w:rsidR="00820D48">
              <w:rPr>
                <w:rFonts w:hint="cs"/>
                <w:rtl/>
              </w:rPr>
              <w:t>,</w:t>
            </w:r>
            <w:r w:rsidRPr="005D79BF">
              <w:rPr>
                <w:rFonts w:hint="cs"/>
                <w:rtl/>
              </w:rPr>
              <w:t xml:space="preserve"> "עובד עצמאי" </w:t>
            </w:r>
            <w:r w:rsidRPr="005D79BF">
              <w:rPr>
                <w:rtl/>
              </w:rPr>
              <w:t>–</w:t>
            </w:r>
            <w:r w:rsidRPr="005D79BF">
              <w:rPr>
                <w:rFonts w:hint="cs"/>
                <w:rtl/>
              </w:rPr>
              <w:t xml:space="preserve"> </w:t>
            </w:r>
            <w:r w:rsidRPr="005D79BF">
              <w:rPr>
                <w:rtl/>
              </w:rPr>
              <w:t>אדם העוסק במשלח-ידו ואין אדם אחר מעבידו;</w:t>
            </w:r>
          </w:p>
        </w:tc>
      </w:tr>
      <w:tr w:rsidR="005D79BF" w14:paraId="076CA4F0" w14:textId="77777777" w:rsidTr="00717135">
        <w:trPr>
          <w:cantSplit/>
          <w:trHeight w:val="60"/>
        </w:trPr>
        <w:tc>
          <w:tcPr>
            <w:tcW w:w="1871" w:type="dxa"/>
          </w:tcPr>
          <w:p w14:paraId="2BE4A67E" w14:textId="77777777" w:rsidR="005D79BF" w:rsidRDefault="005D79BF" w:rsidP="007D7109">
            <w:pPr>
              <w:pStyle w:val="TableSideHeading"/>
            </w:pPr>
          </w:p>
        </w:tc>
        <w:tc>
          <w:tcPr>
            <w:tcW w:w="624" w:type="dxa"/>
          </w:tcPr>
          <w:p w14:paraId="7DD408A3" w14:textId="77777777" w:rsidR="005D79BF" w:rsidRDefault="005D79BF" w:rsidP="007D7109">
            <w:pPr>
              <w:pStyle w:val="TableText"/>
            </w:pPr>
          </w:p>
        </w:tc>
        <w:tc>
          <w:tcPr>
            <w:tcW w:w="624" w:type="dxa"/>
          </w:tcPr>
          <w:p w14:paraId="4A5C3F63" w14:textId="77777777" w:rsidR="005D79BF" w:rsidRDefault="005D79BF" w:rsidP="007D7109">
            <w:pPr>
              <w:pStyle w:val="TableText"/>
            </w:pPr>
          </w:p>
        </w:tc>
        <w:tc>
          <w:tcPr>
            <w:tcW w:w="624" w:type="dxa"/>
          </w:tcPr>
          <w:p w14:paraId="4FF8A1A4" w14:textId="77777777" w:rsidR="005D79BF" w:rsidRDefault="005D79BF" w:rsidP="007D7109">
            <w:pPr>
              <w:pStyle w:val="TableText"/>
            </w:pPr>
          </w:p>
        </w:tc>
        <w:tc>
          <w:tcPr>
            <w:tcW w:w="624" w:type="dxa"/>
          </w:tcPr>
          <w:p w14:paraId="105DE0E8" w14:textId="77777777" w:rsidR="005D79BF" w:rsidRDefault="005D79BF" w:rsidP="007D7109">
            <w:pPr>
              <w:pStyle w:val="TableText"/>
            </w:pPr>
          </w:p>
        </w:tc>
        <w:tc>
          <w:tcPr>
            <w:tcW w:w="624" w:type="dxa"/>
          </w:tcPr>
          <w:p w14:paraId="7C89CCF7" w14:textId="77777777" w:rsidR="005D79BF" w:rsidRDefault="005D79BF" w:rsidP="007D7109">
            <w:pPr>
              <w:pStyle w:val="TableText"/>
            </w:pPr>
          </w:p>
        </w:tc>
        <w:tc>
          <w:tcPr>
            <w:tcW w:w="4650" w:type="dxa"/>
          </w:tcPr>
          <w:p w14:paraId="1E7B9E17" w14:textId="41C46658" w:rsidR="005D79BF" w:rsidRPr="005D79BF" w:rsidRDefault="005D79BF" w:rsidP="005D79BF">
            <w:pPr>
              <w:pStyle w:val="TableBlock"/>
              <w:rPr>
                <w:rtl/>
              </w:rPr>
            </w:pPr>
            <w:r w:rsidRPr="005D79BF">
              <w:rPr>
                <w:rFonts w:hint="cs"/>
                <w:rtl/>
              </w:rPr>
              <w:t>(3)</w:t>
            </w:r>
            <w:r w:rsidRPr="005D79BF">
              <w:rPr>
                <w:rtl/>
              </w:rPr>
              <w:tab/>
            </w:r>
            <w:r w:rsidRPr="005D79BF">
              <w:rPr>
                <w:rFonts w:hint="cs"/>
                <w:rtl/>
              </w:rPr>
              <w:t>מי שבארגון שתחת אחריותו אדם הממלא תפקיד בהתנדבות ועל האדם המתנדב כאמור."</w:t>
            </w:r>
          </w:p>
        </w:tc>
      </w:tr>
    </w:tbl>
    <w:p w14:paraId="6E0030B9" w14:textId="77777777" w:rsidR="003C499E" w:rsidRDefault="003C499E" w:rsidP="003C499E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14:paraId="185A297D" w14:textId="19907422" w:rsidR="003C499E" w:rsidRPr="005D79BF" w:rsidRDefault="003C499E" w:rsidP="005D79BF">
      <w:pPr>
        <w:pStyle w:val="Hesber"/>
        <w:rPr>
          <w:rtl/>
        </w:rPr>
      </w:pPr>
      <w:r w:rsidRPr="005D79BF">
        <w:rPr>
          <w:rtl/>
        </w:rPr>
        <w:t>חוק למניעת הטרדה מינית, התשנ"ח–1998</w:t>
      </w:r>
      <w:r w:rsidR="005D79BF">
        <w:rPr>
          <w:rFonts w:hint="cs"/>
          <w:rtl/>
        </w:rPr>
        <w:t xml:space="preserve">, </w:t>
      </w:r>
      <w:r w:rsidRPr="005D79BF">
        <w:rPr>
          <w:rFonts w:hint="cs"/>
          <w:rtl/>
        </w:rPr>
        <w:t>אוסר על ביצוע מעשים של הטרדה מינ</w:t>
      </w:r>
      <w:r w:rsidR="00AB0D5D" w:rsidRPr="005D79BF">
        <w:rPr>
          <w:rFonts w:hint="cs"/>
          <w:rtl/>
        </w:rPr>
        <w:t>ית והתנכלות, קובע עונש על ביצועם</w:t>
      </w:r>
      <w:r w:rsidRPr="005D79BF">
        <w:rPr>
          <w:rFonts w:hint="cs"/>
          <w:rtl/>
        </w:rPr>
        <w:t xml:space="preserve"> וכן קובע כי הטרדה מינית</w:t>
      </w:r>
      <w:r w:rsidR="00154E94" w:rsidRPr="005D79BF">
        <w:rPr>
          <w:rFonts w:hint="cs"/>
          <w:rtl/>
        </w:rPr>
        <w:t xml:space="preserve"> והתנכלות הן עוולות אזרחיות המקנות לניזוק זכות לפיצויים.</w:t>
      </w:r>
    </w:p>
    <w:p w14:paraId="55F652B0" w14:textId="1D66FA21" w:rsidR="003C499E" w:rsidRPr="005D79BF" w:rsidRDefault="00154E94" w:rsidP="005D79BF">
      <w:pPr>
        <w:pStyle w:val="Hesber"/>
        <w:rPr>
          <w:rtl/>
        </w:rPr>
      </w:pPr>
      <w:r w:rsidRPr="005D79BF">
        <w:rPr>
          <w:rFonts w:hint="cs"/>
          <w:rtl/>
        </w:rPr>
        <w:t>בחוק</w:t>
      </w:r>
      <w:r w:rsidR="003C499E" w:rsidRPr="005D79BF">
        <w:rPr>
          <w:rFonts w:hint="cs"/>
          <w:rtl/>
        </w:rPr>
        <w:t xml:space="preserve"> קיימת התייחסות מיוחדת להטרדה מינית </w:t>
      </w:r>
      <w:r w:rsidR="00AB0D5D" w:rsidRPr="005D79BF">
        <w:rPr>
          <w:rFonts w:hint="cs"/>
          <w:rtl/>
        </w:rPr>
        <w:t>המתרחשת במערכות יחסים המאופיינות</w:t>
      </w:r>
      <w:r w:rsidR="003C499E" w:rsidRPr="005D79BF">
        <w:rPr>
          <w:rFonts w:hint="cs"/>
          <w:rtl/>
        </w:rPr>
        <w:t xml:space="preserve"> בתלות ובחוסר שוויון בין הפרטים וביתר שאת במערכות של יחסי עבודה. בשל המאפיינים של יחסי העבודה ובעיקר בשל יחסי הכוח הבלתי שוויוניים בין העובד למעסיק</w:t>
      </w:r>
      <w:r w:rsidRPr="005D79BF">
        <w:rPr>
          <w:rFonts w:hint="cs"/>
          <w:rtl/>
        </w:rPr>
        <w:t xml:space="preserve"> קובע החוק</w:t>
      </w:r>
      <w:r w:rsidR="003C499E" w:rsidRPr="005D79BF">
        <w:rPr>
          <w:rFonts w:hint="cs"/>
          <w:rtl/>
        </w:rPr>
        <w:t xml:space="preserve"> כי התנהגויות מסוימות הן התנהגויו</w:t>
      </w:r>
      <w:r w:rsidR="003C499E" w:rsidRPr="005D79BF">
        <w:rPr>
          <w:rtl/>
        </w:rPr>
        <w:t>ת</w:t>
      </w:r>
      <w:r w:rsidRPr="005D79BF">
        <w:rPr>
          <w:rFonts w:hint="cs"/>
          <w:rtl/>
        </w:rPr>
        <w:t xml:space="preserve"> מטרידות,</w:t>
      </w:r>
      <w:r w:rsidR="003C499E" w:rsidRPr="005D79BF">
        <w:rPr>
          <w:rFonts w:hint="cs"/>
          <w:rtl/>
        </w:rPr>
        <w:t xml:space="preserve"> גם אם המוטרדת לא הביעה התנגדות. בנוסף, החוק קוב</w:t>
      </w:r>
      <w:r w:rsidR="005D79BF">
        <w:rPr>
          <w:rFonts w:hint="cs"/>
          <w:rtl/>
        </w:rPr>
        <w:t xml:space="preserve">ע שבתביעות לפיצויים בגין עוולות </w:t>
      </w:r>
      <w:r w:rsidR="003C499E" w:rsidRPr="005D79BF">
        <w:rPr>
          <w:rFonts w:hint="cs"/>
          <w:rtl/>
        </w:rPr>
        <w:t xml:space="preserve">שנגרמו עקב הטרדה מינית בעבודה </w:t>
      </w:r>
      <w:r w:rsidRPr="005D79BF">
        <w:rPr>
          <w:rFonts w:hint="cs"/>
          <w:rtl/>
        </w:rPr>
        <w:t>נטל ההו</w:t>
      </w:r>
      <w:bookmarkStart w:id="8" w:name="_GoBack"/>
      <w:bookmarkEnd w:id="8"/>
      <w:r w:rsidRPr="005D79BF">
        <w:rPr>
          <w:rFonts w:hint="cs"/>
          <w:rtl/>
        </w:rPr>
        <w:t>כחה שלא נגרמה עוולה מוטל על המעסיק ועל ה</w:t>
      </w:r>
      <w:r w:rsidR="003C499E" w:rsidRPr="005D79BF">
        <w:rPr>
          <w:rFonts w:hint="cs"/>
          <w:rtl/>
        </w:rPr>
        <w:t xml:space="preserve">מעסיק מוטלת </w:t>
      </w:r>
      <w:r w:rsidRPr="005D79BF">
        <w:rPr>
          <w:rFonts w:hint="cs"/>
          <w:rtl/>
        </w:rPr>
        <w:t>ה</w:t>
      </w:r>
      <w:r w:rsidR="003C499E" w:rsidRPr="005D79BF">
        <w:rPr>
          <w:rFonts w:hint="cs"/>
          <w:rtl/>
        </w:rPr>
        <w:t xml:space="preserve">חובה לנקוט באמצעים שונים למניעת הטרדה מינית במקום העבודה. </w:t>
      </w:r>
    </w:p>
    <w:p w14:paraId="08DA33CB" w14:textId="0E6F0B8D" w:rsidR="003C499E" w:rsidRDefault="00154E94" w:rsidP="005D79BF">
      <w:pPr>
        <w:pStyle w:val="Hesber"/>
        <w:rPr>
          <w:rtl/>
        </w:rPr>
      </w:pPr>
      <w:r w:rsidRPr="005D79BF">
        <w:rPr>
          <w:rFonts w:hint="cs"/>
          <w:rtl/>
        </w:rPr>
        <w:t>ה</w:t>
      </w:r>
      <w:r w:rsidR="003C499E" w:rsidRPr="005D79BF">
        <w:rPr>
          <w:rtl/>
        </w:rPr>
        <w:t>חוק בנוסחו הנוכחי</w:t>
      </w:r>
      <w:r w:rsidRPr="005D79BF">
        <w:rPr>
          <w:rFonts w:hint="cs"/>
          <w:rtl/>
        </w:rPr>
        <w:t>,</w:t>
      </w:r>
      <w:r w:rsidR="003C499E" w:rsidRPr="005D79BF">
        <w:rPr>
          <w:rFonts w:hint="cs"/>
          <w:rtl/>
        </w:rPr>
        <w:t xml:space="preserve"> שותק באשר</w:t>
      </w:r>
      <w:r w:rsidRPr="005D79BF">
        <w:rPr>
          <w:rtl/>
        </w:rPr>
        <w:t xml:space="preserve"> ל</w:t>
      </w:r>
      <w:r w:rsidR="005D79BF">
        <w:rPr>
          <w:rtl/>
        </w:rPr>
        <w:t>הטרדות מיניות של עובדים עצמאי</w:t>
      </w:r>
      <w:r w:rsidR="003C499E" w:rsidRPr="005D79BF">
        <w:rPr>
          <w:rtl/>
        </w:rPr>
        <w:t xml:space="preserve">ם </w:t>
      </w:r>
      <w:r w:rsidR="003C499E" w:rsidRPr="005D79BF">
        <w:rPr>
          <w:rFonts w:hint="cs"/>
          <w:rtl/>
        </w:rPr>
        <w:t>או כלפי עובדים עצמ</w:t>
      </w:r>
      <w:r w:rsidR="005D79BF">
        <w:rPr>
          <w:rFonts w:hint="cs"/>
          <w:rtl/>
        </w:rPr>
        <w:t>א</w:t>
      </w:r>
      <w:r w:rsidR="003C499E" w:rsidRPr="005D79BF">
        <w:rPr>
          <w:rFonts w:hint="cs"/>
          <w:rtl/>
        </w:rPr>
        <w:t xml:space="preserve">ים וכן במקרים של הטרדות מיניות של מתנדבים או כלפי מתנדבים. </w:t>
      </w:r>
      <w:r w:rsidR="003C499E" w:rsidRPr="005D79BF">
        <w:rPr>
          <w:rtl/>
        </w:rPr>
        <w:t>במקרים אלו, גם אם אין יחסי כפיפות ישירים, יש לעיתים פערי כוחות הנובעים מתלותו הכלכלית של העובד העצמאי במזמין</w:t>
      </w:r>
      <w:r w:rsidR="003C499E" w:rsidRPr="005D79BF">
        <w:rPr>
          <w:rFonts w:hint="cs"/>
          <w:rtl/>
        </w:rPr>
        <w:t xml:space="preserve"> העבודה או יחסים הירכיים כאלה ואחרים בין מתנדבים לממונים עליהם</w:t>
      </w:r>
      <w:r w:rsidR="003C499E" w:rsidRPr="005D79BF">
        <w:rPr>
          <w:rtl/>
        </w:rPr>
        <w:t>,</w:t>
      </w:r>
      <w:r w:rsidR="003C499E" w:rsidRPr="005D79BF">
        <w:rPr>
          <w:rFonts w:hint="cs"/>
          <w:rtl/>
        </w:rPr>
        <w:t xml:space="preserve"> שמצדיקים את החלת ההסדרים המיוחדים הקיימים בחוק ביחס ליחסי עבודה, גם על יחסים אלו. הקושי להתנגד להטרדות המיניות או להוכיח אותן בבית </w:t>
      </w:r>
      <w:r w:rsidR="005D79BF">
        <w:rPr>
          <w:rFonts w:hint="cs"/>
          <w:rtl/>
        </w:rPr>
        <w:t>משפט במערכות היחסים שתוארו לעיל</w:t>
      </w:r>
      <w:r w:rsidR="003C499E" w:rsidRPr="005D79BF">
        <w:rPr>
          <w:rFonts w:hint="cs"/>
          <w:rtl/>
        </w:rPr>
        <w:t xml:space="preserve"> זהה לקושי של עובדים הנתונים למרות של מעסיקם. לכן, מוצע להרחיב את תחולת החוק ולקבוע במפורש כי הוראות החוק הנוגעות ליחסים בין עובד למעביד, יחולו בשינויים המחויבים גם על מת</w:t>
      </w:r>
      <w:r w:rsidR="005D79BF">
        <w:rPr>
          <w:rFonts w:hint="cs"/>
          <w:rtl/>
        </w:rPr>
        <w:t>נדבים בארגון וגם על עובדים עצמא</w:t>
      </w:r>
      <w:r w:rsidR="003C499E" w:rsidRPr="005D79BF">
        <w:rPr>
          <w:rFonts w:hint="cs"/>
          <w:rtl/>
        </w:rPr>
        <w:t xml:space="preserve">ים המועסקים בו. </w:t>
      </w:r>
    </w:p>
    <w:p w14:paraId="7A1839D1" w14:textId="77777777" w:rsidR="005D79BF" w:rsidRPr="005D79BF" w:rsidRDefault="005D79BF" w:rsidP="005D79BF">
      <w:pPr>
        <w:pStyle w:val="Hesber"/>
        <w:rPr>
          <w:rtl/>
        </w:rPr>
      </w:pPr>
    </w:p>
    <w:p w14:paraId="5C6720D9" w14:textId="77777777" w:rsidR="005D79BF" w:rsidRPr="00D73212" w:rsidRDefault="005D79BF" w:rsidP="005D79BF">
      <w:pPr>
        <w:pStyle w:val="Hesber"/>
        <w:rPr>
          <w:color w:val="auto"/>
          <w:rtl/>
          <w:lang w:eastAsia="en-US"/>
        </w:rPr>
      </w:pPr>
      <w:r w:rsidRPr="00D73212">
        <w:rPr>
          <w:color w:val="auto"/>
          <w:rtl/>
          <w:lang w:eastAsia="en-US"/>
        </w:rPr>
        <w:t>---------------------------------</w:t>
      </w:r>
    </w:p>
    <w:p w14:paraId="7B640B08" w14:textId="77777777" w:rsidR="005D79BF" w:rsidRPr="00D73212" w:rsidRDefault="005D79BF" w:rsidP="005D79BF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הוגשה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ליו</w:t>
      </w:r>
      <w:r w:rsidRPr="00D73212">
        <w:rPr>
          <w:color w:val="auto"/>
          <w:rtl/>
          <w:lang w:eastAsia="en-US"/>
        </w:rPr>
        <w:t>"</w:t>
      </w:r>
      <w:r w:rsidRPr="00D73212">
        <w:rPr>
          <w:rFonts w:hint="cs"/>
          <w:color w:val="auto"/>
          <w:rtl/>
          <w:lang w:eastAsia="en-US"/>
        </w:rPr>
        <w:t>ר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והסגנים</w:t>
      </w:r>
    </w:p>
    <w:p w14:paraId="480828D1" w14:textId="77777777" w:rsidR="005D79BF" w:rsidRPr="00D73212" w:rsidRDefault="005D79BF" w:rsidP="005D79BF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והונחה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על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שולחן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ביום</w:t>
      </w:r>
    </w:p>
    <w:p w14:paraId="7F6961CB" w14:textId="4F16A6AF" w:rsidR="00E13C27" w:rsidRPr="005D79BF" w:rsidRDefault="005D79BF" w:rsidP="005D79BF">
      <w:pPr>
        <w:pStyle w:val="Hesber"/>
        <w:rPr>
          <w:rtl/>
        </w:rPr>
      </w:pPr>
      <w:r>
        <w:rPr>
          <w:rFonts w:hint="cs"/>
          <w:color w:val="auto"/>
          <w:rtl/>
          <w:lang w:eastAsia="en-US"/>
        </w:rPr>
        <w:t>כ"ט בשבט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התשע</w:t>
      </w:r>
      <w:r w:rsidRPr="00D73212">
        <w:rPr>
          <w:color w:val="auto"/>
          <w:rtl/>
          <w:lang w:eastAsia="en-US"/>
        </w:rPr>
        <w:t>"</w:t>
      </w:r>
      <w:r>
        <w:rPr>
          <w:rFonts w:hint="cs"/>
          <w:color w:val="auto"/>
          <w:rtl/>
          <w:lang w:eastAsia="en-US"/>
        </w:rPr>
        <w:t>ו</w:t>
      </w:r>
      <w:r w:rsidRPr="00D73212">
        <w:rPr>
          <w:color w:val="auto"/>
          <w:rtl/>
          <w:lang w:eastAsia="en-US"/>
        </w:rPr>
        <w:t xml:space="preserve"> – </w:t>
      </w:r>
      <w:r>
        <w:rPr>
          <w:rFonts w:hint="cs"/>
          <w:color w:val="auto"/>
          <w:rtl/>
          <w:lang w:eastAsia="en-US"/>
        </w:rPr>
        <w:t>8</w:t>
      </w:r>
      <w:r w:rsidRPr="00D73212">
        <w:rPr>
          <w:color w:val="auto"/>
          <w:rtl/>
          <w:lang w:eastAsia="en-US"/>
        </w:rPr>
        <w:t>.</w:t>
      </w:r>
      <w:r>
        <w:rPr>
          <w:rFonts w:hint="cs"/>
          <w:color w:val="auto"/>
          <w:rtl/>
          <w:lang w:eastAsia="en-US"/>
        </w:rPr>
        <w:t>2</w:t>
      </w:r>
      <w:r w:rsidRPr="00D73212">
        <w:rPr>
          <w:color w:val="auto"/>
          <w:rtl/>
          <w:lang w:eastAsia="en-US"/>
        </w:rPr>
        <w:t>.1</w:t>
      </w:r>
      <w:r>
        <w:rPr>
          <w:rFonts w:hint="cs"/>
          <w:color w:val="auto"/>
          <w:rtl/>
          <w:lang w:eastAsia="en-US"/>
        </w:rPr>
        <w:t>6</w:t>
      </w:r>
    </w:p>
    <w:sectPr w:rsidR="00E13C27" w:rsidRPr="005D79BF" w:rsidSect="005D79BF">
      <w:footerReference w:type="even" r:id="rId11"/>
      <w:footerReference w:type="default" r:id="rId12"/>
      <w:pgSz w:w="11907" w:h="16840" w:code="9"/>
      <w:pgMar w:top="851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88A69" w14:textId="77777777" w:rsidR="00A942C1" w:rsidRDefault="00A942C1">
      <w:r>
        <w:separator/>
      </w:r>
    </w:p>
  </w:endnote>
  <w:endnote w:type="continuationSeparator" w:id="0">
    <w:p w14:paraId="318F26FB" w14:textId="77777777" w:rsidR="00A942C1" w:rsidRDefault="00A942C1">
      <w:r>
        <w:continuationSeparator/>
      </w:r>
    </w:p>
  </w:endnote>
  <w:endnote w:type="continuationNotice" w:id="1">
    <w:p w14:paraId="6BE48FD5" w14:textId="77777777" w:rsidR="00A942C1" w:rsidRDefault="00A942C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end"/>
    </w:r>
  </w:p>
  <w:p w14:paraId="7F6961D6" w14:textId="77777777" w:rsidR="002C3041" w:rsidRDefault="002C304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separate"/>
    </w:r>
    <w:r w:rsidR="00820D48">
      <w:rPr>
        <w:rStyle w:val="ab"/>
        <w:noProof/>
        <w:rtl/>
      </w:rPr>
      <w:t>2</w:t>
    </w:r>
    <w:r>
      <w:rPr>
        <w:rStyle w:val="ab"/>
        <w:rtl/>
      </w:rPr>
      <w:fldChar w:fldCharType="end"/>
    </w:r>
  </w:p>
  <w:p w14:paraId="7F6961D8" w14:textId="77777777" w:rsidR="002C3041" w:rsidRDefault="002C30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7B9F2" w14:textId="77777777" w:rsidR="00A942C1" w:rsidRDefault="00A942C1">
      <w:r>
        <w:separator/>
      </w:r>
    </w:p>
  </w:footnote>
  <w:footnote w:type="continuationSeparator" w:id="0">
    <w:p w14:paraId="3DB92342" w14:textId="77777777" w:rsidR="00A942C1" w:rsidRDefault="00A942C1">
      <w:r>
        <w:continuationSeparator/>
      </w:r>
    </w:p>
  </w:footnote>
  <w:footnote w:type="continuationNotice" w:id="1">
    <w:p w14:paraId="16009878" w14:textId="77777777" w:rsidR="00A942C1" w:rsidRDefault="00A942C1"/>
  </w:footnote>
  <w:footnote w:id="2">
    <w:p w14:paraId="3601AA1E" w14:textId="77777777" w:rsidR="003C499E" w:rsidRDefault="003C499E" w:rsidP="003C499E">
      <w:pPr>
        <w:pStyle w:val="a4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התשנ"ח, עמ' 166.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65B46"/>
    <w:multiLevelType w:val="hybridMultilevel"/>
    <w:tmpl w:val="1DBC0A00"/>
    <w:lvl w:ilvl="0" w:tplc="C082B160">
      <w:start w:val="1"/>
      <w:numFmt w:val="hebrew1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63A3E"/>
    <w:rsid w:val="00072CAC"/>
    <w:rsid w:val="0007681A"/>
    <w:rsid w:val="000A542E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54E94"/>
    <w:rsid w:val="001A0623"/>
    <w:rsid w:val="001C23B0"/>
    <w:rsid w:val="001D7AAF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92712"/>
    <w:rsid w:val="002A487D"/>
    <w:rsid w:val="002C2E29"/>
    <w:rsid w:val="002C3041"/>
    <w:rsid w:val="002D1EE3"/>
    <w:rsid w:val="002F1D80"/>
    <w:rsid w:val="0031432B"/>
    <w:rsid w:val="003232A2"/>
    <w:rsid w:val="00325C14"/>
    <w:rsid w:val="00350886"/>
    <w:rsid w:val="0036422C"/>
    <w:rsid w:val="003710F6"/>
    <w:rsid w:val="00386E88"/>
    <w:rsid w:val="00396585"/>
    <w:rsid w:val="003C499E"/>
    <w:rsid w:val="003D6E38"/>
    <w:rsid w:val="003D74A0"/>
    <w:rsid w:val="004033D8"/>
    <w:rsid w:val="004073F0"/>
    <w:rsid w:val="00412A7D"/>
    <w:rsid w:val="00416B4D"/>
    <w:rsid w:val="00417CFC"/>
    <w:rsid w:val="004A06DC"/>
    <w:rsid w:val="004B24ED"/>
    <w:rsid w:val="004B6625"/>
    <w:rsid w:val="004D2D82"/>
    <w:rsid w:val="004D3876"/>
    <w:rsid w:val="004E4552"/>
    <w:rsid w:val="004E6CDF"/>
    <w:rsid w:val="0053061E"/>
    <w:rsid w:val="00541F15"/>
    <w:rsid w:val="00553C9D"/>
    <w:rsid w:val="00562A66"/>
    <w:rsid w:val="005B064E"/>
    <w:rsid w:val="005D51AE"/>
    <w:rsid w:val="005D79BF"/>
    <w:rsid w:val="0062674B"/>
    <w:rsid w:val="006363B2"/>
    <w:rsid w:val="00644940"/>
    <w:rsid w:val="006475B3"/>
    <w:rsid w:val="006818A9"/>
    <w:rsid w:val="006A2D81"/>
    <w:rsid w:val="006C1D0D"/>
    <w:rsid w:val="0070601E"/>
    <w:rsid w:val="00712C72"/>
    <w:rsid w:val="00735FE9"/>
    <w:rsid w:val="00763CAA"/>
    <w:rsid w:val="00765F66"/>
    <w:rsid w:val="0078664F"/>
    <w:rsid w:val="007C3FA6"/>
    <w:rsid w:val="007D585A"/>
    <w:rsid w:val="007D5A12"/>
    <w:rsid w:val="007E59F9"/>
    <w:rsid w:val="00810BCD"/>
    <w:rsid w:val="00812C98"/>
    <w:rsid w:val="00814D92"/>
    <w:rsid w:val="00820D48"/>
    <w:rsid w:val="0083181D"/>
    <w:rsid w:val="00843EB2"/>
    <w:rsid w:val="00865572"/>
    <w:rsid w:val="00874BBC"/>
    <w:rsid w:val="00892135"/>
    <w:rsid w:val="00895449"/>
    <w:rsid w:val="00897879"/>
    <w:rsid w:val="008A6870"/>
    <w:rsid w:val="008C2DDC"/>
    <w:rsid w:val="008C7516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43386"/>
    <w:rsid w:val="009456B6"/>
    <w:rsid w:val="00957589"/>
    <w:rsid w:val="00966D06"/>
    <w:rsid w:val="00982412"/>
    <w:rsid w:val="00983A8D"/>
    <w:rsid w:val="009A0DB8"/>
    <w:rsid w:val="009A7257"/>
    <w:rsid w:val="009D6E0A"/>
    <w:rsid w:val="009E1E33"/>
    <w:rsid w:val="00A14672"/>
    <w:rsid w:val="00A26BD6"/>
    <w:rsid w:val="00A443CF"/>
    <w:rsid w:val="00A6611D"/>
    <w:rsid w:val="00A82CB7"/>
    <w:rsid w:val="00A942C1"/>
    <w:rsid w:val="00AA2F03"/>
    <w:rsid w:val="00AB0D5D"/>
    <w:rsid w:val="00AC36F7"/>
    <w:rsid w:val="00AC63A4"/>
    <w:rsid w:val="00AD239E"/>
    <w:rsid w:val="00B10265"/>
    <w:rsid w:val="00B16A99"/>
    <w:rsid w:val="00B21211"/>
    <w:rsid w:val="00B35784"/>
    <w:rsid w:val="00B733A7"/>
    <w:rsid w:val="00B75C91"/>
    <w:rsid w:val="00B975AD"/>
    <w:rsid w:val="00BC45FB"/>
    <w:rsid w:val="00BF148D"/>
    <w:rsid w:val="00C23B1A"/>
    <w:rsid w:val="00C310EB"/>
    <w:rsid w:val="00C9176A"/>
    <w:rsid w:val="00C9578A"/>
    <w:rsid w:val="00CF1AA2"/>
    <w:rsid w:val="00D17774"/>
    <w:rsid w:val="00D63620"/>
    <w:rsid w:val="00D8410D"/>
    <w:rsid w:val="00D867D7"/>
    <w:rsid w:val="00DB7060"/>
    <w:rsid w:val="00DE3153"/>
    <w:rsid w:val="00E06736"/>
    <w:rsid w:val="00E13C27"/>
    <w:rsid w:val="00E33BBD"/>
    <w:rsid w:val="00E374F2"/>
    <w:rsid w:val="00E45103"/>
    <w:rsid w:val="00E55A60"/>
    <w:rsid w:val="00E62778"/>
    <w:rsid w:val="00E63D38"/>
    <w:rsid w:val="00E665B9"/>
    <w:rsid w:val="00EA01E6"/>
    <w:rsid w:val="00EA3DE8"/>
    <w:rsid w:val="00EA758F"/>
    <w:rsid w:val="00ED4A6F"/>
    <w:rsid w:val="00EF3A3A"/>
    <w:rsid w:val="00F628D6"/>
    <w:rsid w:val="00F67051"/>
    <w:rsid w:val="00F86A1E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6177E072-580D-4419-BEA8-27A13253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link w:val="a5"/>
    <w:autoRedefine/>
    <w:semiHidden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6">
    <w:name w:val="footnote reference"/>
    <w:aliases w:val="Footnote Reference"/>
    <w:basedOn w:val="a0"/>
    <w:semiHidden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8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a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b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c">
    <w:name w:val="Balloon Text"/>
    <w:basedOn w:val="a"/>
    <w:link w:val="ad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customStyle="1" w:styleId="a5">
    <w:name w:val="טקסט הערת שוליים תו"/>
    <w:basedOn w:val="a0"/>
    <w:link w:val="a4"/>
    <w:semiHidden/>
    <w:rsid w:val="003C499E"/>
    <w:rPr>
      <w:rFonts w:ascii="Arial" w:eastAsia="Arial Unicode MS" w:hAnsi="Arial" w:cs="David"/>
      <w:snapToGrid w:val="0"/>
      <w:color w:val="000000"/>
      <w:sz w:val="1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32566-B961-4E3E-B402-F6B37A5BF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4AFE3-9455-419C-8851-785A55F44517}">
  <ds:schemaRefs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F297144-36D5-402E-AD2D-5BDD0B45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455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לילך יעיש</cp:lastModifiedBy>
  <cp:revision>10</cp:revision>
  <cp:lastPrinted>2016-02-04T12:00:00Z</cp:lastPrinted>
  <dcterms:created xsi:type="dcterms:W3CDTF">2015-04-20T09:58:00Z</dcterms:created>
  <dcterms:modified xsi:type="dcterms:W3CDTF">2016-02-04T12:01:00Z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573784</vt:r8>
  </property>
</Properties>
</file>