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569003</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שלי יחימוביץ'</w:t>
      </w:r>
      <w:r>
        <w:br/>
      </w:r>
      <w:r>
        <w:rPr>
          <w:rFonts w:hint="cs"/>
          <w:b/>
          <w:bCs/>
          <w:rtl/>
        </w:rPr>
        <w:t xml:space="preserve"> </w:t>
      </w:r>
      <w:r>
        <w:tab/>
      </w:r>
      <w:r>
        <w:tab/>
      </w:r>
      <w:r>
        <w:tab/>
      </w:r>
      <w:r>
        <w:tab/>
      </w:r>
      <w:r>
        <w:rPr>
          <w:rFonts w:hint="cs"/>
          <w:b/>
          <w:bCs/>
          <w:rtl/>
        </w:rPr>
        <w:t>מרב מיכאלי</w:t>
      </w:r>
      <w:r>
        <w:br/>
      </w:r>
      <w:r>
        <w:rPr>
          <w:rFonts w:hint="cs"/>
          <w:b/>
          <w:bCs/>
          <w:rtl/>
        </w:rPr>
        <w:t xml:space="preserve"> </w:t>
      </w:r>
      <w:r>
        <w:tab/>
      </w:r>
      <w:r>
        <w:tab/>
      </w:r>
      <w:r>
        <w:tab/>
      </w:r>
      <w:r>
        <w:tab/>
      </w:r>
      <w:r>
        <w:rPr>
          <w:rFonts w:hint="cs"/>
          <w:b/>
          <w:bCs/>
          <w:rtl/>
        </w:rPr>
        <w:t>מיקי רוזנטל</w:t>
      </w:r>
      <w:r>
        <w:br/>
      </w:r>
      <w:r>
        <w:rPr>
          <w:rFonts w:hint="cs"/>
          <w:b/>
          <w:bCs/>
          <w:rtl/>
        </w:rPr>
        <w:t xml:space="preserve"> </w:t>
      </w:r>
      <w:r>
        <w:tab/>
      </w:r>
      <w:r>
        <w:tab/>
      </w:r>
      <w:r>
        <w:tab/>
      </w:r>
      <w:r>
        <w:tab/>
      </w:r>
      <w:r>
        <w:rPr>
          <w:rFonts w:hint="cs"/>
          <w:b/>
          <w:bCs/>
          <w:rtl/>
        </w:rPr>
        <w:t>קסניה סבטלובה</w:t>
      </w:r>
      <w:bookmarkEnd w:id="3"/>
    </w:p>
    <w:p w14:paraId="34DB4103" w14:textId="14B5D7CF" w:rsidR="00904591" w:rsidRPr="00904591" w:rsidRDefault="007D585A" w:rsidP="00BB03AE">
      <w:pPr>
        <w:pStyle w:val="David"/>
        <w:spacing w:before="0" w:line="360" w:lineRule="auto"/>
        <w:ind w:left="3544"/>
        <w:rPr>
          <w:sz w:val="4"/>
          <w:szCs w:val="4"/>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r w:rsidR="00266D86">
        <w:t>__</w:t>
      </w:r>
      <w:r w:rsidR="00E374F2">
        <w:t>__</w:t>
      </w:r>
      <w:r w:rsidR="00266D86">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פ/2161/20</w:t>
      </w:r>
      <w:bookmarkEnd w:id="6"/>
    </w:p>
    <w:p w14:paraId="7F6961AD" w14:textId="56D0710C" w:rsidR="00E13C27" w:rsidRPr="00F67051" w:rsidRDefault="00A443CF" w:rsidP="0021633A">
      <w:pPr>
        <w:pStyle w:val="HeadHatzaotHok"/>
        <w:rPr>
          <w:rtl/>
        </w:rPr>
      </w:pPr>
      <w:bookmarkStart w:id="7" w:name="LGS_Subject"/>
      <w:r>
        <w:rPr>
          <w:rFonts w:hint="cs"/>
          <w:rtl/>
        </w:rPr>
        <w:t>הצעת חוק השידור הציבורי</w:t>
      </w:r>
      <w:r w:rsidR="00475EE7">
        <w:rPr>
          <w:rFonts w:hint="cs"/>
          <w:rtl/>
        </w:rPr>
        <w:t xml:space="preserve"> הישראלי</w:t>
      </w:r>
      <w:r>
        <w:rPr>
          <w:rFonts w:hint="cs"/>
          <w:rtl/>
        </w:rPr>
        <w:t xml:space="preserve"> (תיקון – חירות הביטוי), התשע"ו–2015</w:t>
      </w:r>
      <w:bookmarkEnd w:id="7"/>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7146"/>
      </w:tblGrid>
      <w:tr w:rsidR="00DF7FF4" w:rsidRPr="00843AB1" w14:paraId="72AA409A" w14:textId="77777777" w:rsidTr="003C4236">
        <w:trPr>
          <w:cantSplit/>
        </w:trPr>
        <w:tc>
          <w:tcPr>
            <w:tcW w:w="1871" w:type="dxa"/>
          </w:tcPr>
          <w:p w14:paraId="1D1B9447" w14:textId="30822B3B" w:rsidR="00DF7FF4" w:rsidRPr="00843AB1" w:rsidRDefault="00DF7FF4" w:rsidP="009848E5">
            <w:pPr>
              <w:pStyle w:val="TableSideHeading"/>
              <w:keepLines w:val="0"/>
              <w:rPr>
                <w:sz w:val="26"/>
                <w:rtl/>
              </w:rPr>
            </w:pPr>
            <w:r w:rsidRPr="00843AB1">
              <w:rPr>
                <w:sz w:val="26"/>
                <w:rtl/>
              </w:rPr>
              <w:t>תיקון</w:t>
            </w:r>
            <w:r>
              <w:rPr>
                <w:sz w:val="26"/>
                <w:rtl/>
              </w:rPr>
              <w:t xml:space="preserve"> </w:t>
            </w:r>
            <w:r w:rsidRPr="00843AB1">
              <w:rPr>
                <w:sz w:val="26"/>
                <w:rtl/>
              </w:rPr>
              <w:t>סעיף</w:t>
            </w:r>
            <w:r>
              <w:rPr>
                <w:sz w:val="26"/>
                <w:rtl/>
              </w:rPr>
              <w:t xml:space="preserve"> </w:t>
            </w:r>
            <w:r w:rsidR="006A70BF">
              <w:rPr>
                <w:rFonts w:hint="cs"/>
                <w:sz w:val="26"/>
                <w:rtl/>
              </w:rPr>
              <w:t>7</w:t>
            </w:r>
          </w:p>
        </w:tc>
        <w:tc>
          <w:tcPr>
            <w:tcW w:w="624" w:type="dxa"/>
          </w:tcPr>
          <w:p w14:paraId="46142948" w14:textId="77777777" w:rsidR="00DF7FF4" w:rsidRPr="00843AB1" w:rsidRDefault="00DF7FF4" w:rsidP="003C4236">
            <w:pPr>
              <w:pStyle w:val="TableText"/>
              <w:keepLines w:val="0"/>
              <w:rPr>
                <w:sz w:val="26"/>
                <w:rtl/>
              </w:rPr>
            </w:pPr>
            <w:r w:rsidRPr="00843AB1">
              <w:rPr>
                <w:sz w:val="26"/>
                <w:rtl/>
              </w:rPr>
              <w:t>1.</w:t>
            </w:r>
          </w:p>
        </w:tc>
        <w:tc>
          <w:tcPr>
            <w:tcW w:w="7146" w:type="dxa"/>
          </w:tcPr>
          <w:p w14:paraId="0E807F8F" w14:textId="7E9179E6" w:rsidR="00DF7FF4" w:rsidRPr="00843AB1" w:rsidRDefault="00DF7FF4" w:rsidP="006F143E">
            <w:pPr>
              <w:pStyle w:val="TableBlock"/>
              <w:rPr>
                <w:sz w:val="26"/>
                <w:rtl/>
              </w:rPr>
            </w:pPr>
            <w:r w:rsidRPr="00843AB1">
              <w:rPr>
                <w:sz w:val="26"/>
                <w:rtl/>
              </w:rPr>
              <w:t>בחוק</w:t>
            </w:r>
            <w:r>
              <w:rPr>
                <w:sz w:val="26"/>
                <w:rtl/>
              </w:rPr>
              <w:t xml:space="preserve"> השידור הציבורי</w:t>
            </w:r>
            <w:r w:rsidR="00475EE7">
              <w:rPr>
                <w:rFonts w:hint="cs"/>
                <w:sz w:val="26"/>
                <w:rtl/>
              </w:rPr>
              <w:t xml:space="preserve"> הישראלי</w:t>
            </w:r>
            <w:r w:rsidRPr="00843AB1">
              <w:rPr>
                <w:sz w:val="26"/>
                <w:rtl/>
              </w:rPr>
              <w:t>,</w:t>
            </w:r>
            <w:r>
              <w:rPr>
                <w:sz w:val="26"/>
                <w:rtl/>
              </w:rPr>
              <w:t xml:space="preserve"> התשע"ד</w:t>
            </w:r>
            <w:r w:rsidR="009848E5">
              <w:rPr>
                <w:rFonts w:hint="cs"/>
                <w:sz w:val="26"/>
                <w:rtl/>
              </w:rPr>
              <w:t>–2014</w:t>
            </w:r>
            <w:r w:rsidR="00475EE7">
              <w:rPr>
                <w:rStyle w:val="a6"/>
                <w:sz w:val="26"/>
                <w:rtl/>
              </w:rPr>
              <w:footnoteReference w:id="2"/>
            </w:r>
            <w:r w:rsidR="00C05339">
              <w:rPr>
                <w:rFonts w:hint="cs"/>
                <w:sz w:val="26"/>
                <w:rtl/>
              </w:rPr>
              <w:t xml:space="preserve"> </w:t>
            </w:r>
            <w:r w:rsidR="009848E5">
              <w:rPr>
                <w:rFonts w:hint="cs"/>
                <w:sz w:val="26"/>
                <w:rtl/>
              </w:rPr>
              <w:t xml:space="preserve">(להלן </w:t>
            </w:r>
            <w:r w:rsidR="009848E5">
              <w:rPr>
                <w:rFonts w:hint="eastAsia"/>
                <w:sz w:val="26"/>
                <w:rtl/>
              </w:rPr>
              <w:t>–</w:t>
            </w:r>
            <w:r w:rsidR="009848E5">
              <w:rPr>
                <w:rFonts w:hint="cs"/>
                <w:sz w:val="26"/>
                <w:rtl/>
              </w:rPr>
              <w:t xml:space="preserve"> החוק העיקרי</w:t>
            </w:r>
            <w:r w:rsidR="006A70BF">
              <w:rPr>
                <w:rFonts w:hint="cs"/>
                <w:sz w:val="26"/>
                <w:rtl/>
              </w:rPr>
              <w:t>)</w:t>
            </w:r>
            <w:r>
              <w:rPr>
                <w:sz w:val="26"/>
                <w:rtl/>
              </w:rPr>
              <w:t>,</w:t>
            </w:r>
            <w:r w:rsidR="009848E5">
              <w:rPr>
                <w:rFonts w:hint="cs"/>
                <w:sz w:val="26"/>
                <w:rtl/>
              </w:rPr>
              <w:t xml:space="preserve"> </w:t>
            </w:r>
            <w:r w:rsidR="006F143E">
              <w:rPr>
                <w:rFonts w:hint="cs"/>
                <w:sz w:val="26"/>
                <w:rtl/>
              </w:rPr>
              <w:t xml:space="preserve">בסעיף </w:t>
            </w:r>
            <w:r w:rsidR="006A70BF">
              <w:rPr>
                <w:rFonts w:hint="cs"/>
                <w:sz w:val="26"/>
                <w:rtl/>
              </w:rPr>
              <w:t>7</w:t>
            </w:r>
            <w:r w:rsidR="00C05339">
              <w:rPr>
                <w:rFonts w:hint="cs"/>
                <w:sz w:val="26"/>
                <w:rtl/>
              </w:rPr>
              <w:t>(ג), האמור בו</w:t>
            </w:r>
            <w:r w:rsidR="006A70BF">
              <w:rPr>
                <w:rFonts w:hint="cs"/>
                <w:sz w:val="26"/>
                <w:rtl/>
              </w:rPr>
              <w:t xml:space="preserve"> יסומן "(1)</w:t>
            </w:r>
            <w:r w:rsidR="000912A5">
              <w:rPr>
                <w:rFonts w:hint="cs"/>
                <w:sz w:val="26"/>
                <w:rtl/>
              </w:rPr>
              <w:t>", ואחריו</w:t>
            </w:r>
            <w:r>
              <w:rPr>
                <w:sz w:val="26"/>
                <w:rtl/>
              </w:rPr>
              <w:t xml:space="preserve"> יבוא:</w:t>
            </w:r>
          </w:p>
        </w:tc>
      </w:tr>
      <w:tr w:rsidR="000912A5" w:rsidRPr="00843AB1" w14:paraId="2B6D6C93" w14:textId="77777777" w:rsidTr="003C4236">
        <w:trPr>
          <w:cantSplit/>
        </w:trPr>
        <w:tc>
          <w:tcPr>
            <w:tcW w:w="1871" w:type="dxa"/>
          </w:tcPr>
          <w:p w14:paraId="56A786EE" w14:textId="77777777" w:rsidR="000912A5" w:rsidRDefault="000912A5" w:rsidP="006A70BF">
            <w:pPr>
              <w:pStyle w:val="TableSideHeading"/>
              <w:keepLines w:val="0"/>
              <w:rPr>
                <w:sz w:val="26"/>
                <w:rtl/>
              </w:rPr>
            </w:pPr>
          </w:p>
        </w:tc>
        <w:tc>
          <w:tcPr>
            <w:tcW w:w="624" w:type="dxa"/>
          </w:tcPr>
          <w:p w14:paraId="73F02B54" w14:textId="77777777" w:rsidR="000912A5" w:rsidRPr="00843AB1" w:rsidRDefault="000912A5" w:rsidP="009848E5">
            <w:pPr>
              <w:pStyle w:val="TableText"/>
              <w:rPr>
                <w:rtl/>
              </w:rPr>
            </w:pPr>
          </w:p>
        </w:tc>
        <w:tc>
          <w:tcPr>
            <w:tcW w:w="7146" w:type="dxa"/>
          </w:tcPr>
          <w:p w14:paraId="5FBB31AC" w14:textId="7F15F869" w:rsidR="000912A5" w:rsidRDefault="000912A5" w:rsidP="009848E5">
            <w:pPr>
              <w:pStyle w:val="TableBlock"/>
              <w:rPr>
                <w:sz w:val="26"/>
                <w:rtl/>
              </w:rPr>
            </w:pPr>
            <w:r>
              <w:rPr>
                <w:rFonts w:hint="cs"/>
                <w:sz w:val="26"/>
                <w:rtl/>
              </w:rPr>
              <w:t>"(2)</w:t>
            </w:r>
            <w:r>
              <w:rPr>
                <w:sz w:val="26"/>
                <w:rtl/>
              </w:rPr>
              <w:tab/>
            </w:r>
            <w:r>
              <w:rPr>
                <w:rFonts w:hint="cs"/>
                <w:sz w:val="26"/>
                <w:rtl/>
              </w:rPr>
              <w:t>עיתונאי השידור הציבורי יהנו מחופש ביטוי מוחלט, ויפעלו על-פי מיטב שיקול דעתם המקצועי למימוש זכותו של הציבור לדעת; עיתונאי השידור הציבורי יחתרו לגילוי האמת, לחשיפת עוולות, עיוותים, אי-צדק ושחיתות</w:t>
            </w:r>
            <w:r w:rsidR="009848E5">
              <w:rPr>
                <w:rFonts w:hint="cs"/>
                <w:sz w:val="26"/>
                <w:rtl/>
              </w:rPr>
              <w:t>,</w:t>
            </w:r>
            <w:r>
              <w:rPr>
                <w:rFonts w:hint="cs"/>
                <w:sz w:val="26"/>
                <w:rtl/>
              </w:rPr>
              <w:t xml:space="preserve"> </w:t>
            </w:r>
            <w:r>
              <w:rPr>
                <w:sz w:val="26"/>
                <w:rtl/>
              </w:rPr>
              <w:softHyphen/>
            </w:r>
            <w:r>
              <w:rPr>
                <w:rFonts w:hint="cs"/>
                <w:sz w:val="26"/>
                <w:rtl/>
              </w:rPr>
              <w:t xml:space="preserve"> בלא מורא ובלא משוא פנים."</w:t>
            </w:r>
          </w:p>
        </w:tc>
      </w:tr>
      <w:tr w:rsidR="000912A5" w:rsidRPr="00843AB1" w14:paraId="6465E354" w14:textId="77777777" w:rsidTr="003C4236">
        <w:trPr>
          <w:cantSplit/>
        </w:trPr>
        <w:tc>
          <w:tcPr>
            <w:tcW w:w="1871" w:type="dxa"/>
          </w:tcPr>
          <w:p w14:paraId="70FB769C" w14:textId="57D74324" w:rsidR="000912A5" w:rsidRDefault="000912A5" w:rsidP="006A70BF">
            <w:pPr>
              <w:pStyle w:val="TableSideHeading"/>
              <w:keepLines w:val="0"/>
              <w:rPr>
                <w:sz w:val="26"/>
                <w:rtl/>
              </w:rPr>
            </w:pPr>
            <w:r>
              <w:rPr>
                <w:rFonts w:hint="cs"/>
                <w:sz w:val="26"/>
                <w:rtl/>
              </w:rPr>
              <w:t>ביטול סעיף 113</w:t>
            </w:r>
          </w:p>
        </w:tc>
        <w:tc>
          <w:tcPr>
            <w:tcW w:w="624" w:type="dxa"/>
          </w:tcPr>
          <w:p w14:paraId="7A0229F7" w14:textId="2FB60FB0" w:rsidR="000912A5" w:rsidRPr="00843AB1" w:rsidRDefault="000912A5" w:rsidP="009848E5">
            <w:pPr>
              <w:pStyle w:val="TableText"/>
              <w:rPr>
                <w:rtl/>
              </w:rPr>
            </w:pPr>
            <w:r>
              <w:rPr>
                <w:rFonts w:hint="cs"/>
                <w:rtl/>
              </w:rPr>
              <w:t>2.</w:t>
            </w:r>
          </w:p>
        </w:tc>
        <w:tc>
          <w:tcPr>
            <w:tcW w:w="7146" w:type="dxa"/>
          </w:tcPr>
          <w:p w14:paraId="4010ED21" w14:textId="607D4754" w:rsidR="000912A5" w:rsidRDefault="000912A5" w:rsidP="000912A5">
            <w:pPr>
              <w:pStyle w:val="TableBlock"/>
              <w:rPr>
                <w:sz w:val="26"/>
                <w:rtl/>
              </w:rPr>
            </w:pPr>
            <w:r>
              <w:rPr>
                <w:rFonts w:hint="cs"/>
                <w:sz w:val="26"/>
                <w:rtl/>
              </w:rPr>
              <w:t>סעיף 113(ב)(5)</w:t>
            </w:r>
            <w:r w:rsidR="009848E5">
              <w:rPr>
                <w:rFonts w:hint="cs"/>
                <w:sz w:val="26"/>
                <w:rtl/>
              </w:rPr>
              <w:t xml:space="preserve"> לחוק העיקרי</w:t>
            </w:r>
            <w:r>
              <w:rPr>
                <w:rFonts w:hint="cs"/>
                <w:sz w:val="26"/>
                <w:rtl/>
              </w:rPr>
              <w:t xml:space="preserve"> </w:t>
            </w:r>
            <w:r>
              <w:rPr>
                <w:rFonts w:hint="eastAsia"/>
                <w:sz w:val="26"/>
                <w:rtl/>
              </w:rPr>
              <w:t>– בטל.</w:t>
            </w:r>
          </w:p>
        </w:tc>
      </w:tr>
    </w:tbl>
    <w:p w14:paraId="202EB641" w14:textId="77777777" w:rsidR="00DF7FF4" w:rsidRDefault="00DF7FF4" w:rsidP="00DF7FF4">
      <w:pPr>
        <w:pStyle w:val="HeadDivreiHesber"/>
        <w:rPr>
          <w:rtl/>
        </w:rPr>
      </w:pPr>
      <w:r>
        <w:rPr>
          <w:rtl/>
        </w:rPr>
        <w:t>דברי הסבר</w:t>
      </w:r>
    </w:p>
    <w:p w14:paraId="3B12A711" w14:textId="55C08D36" w:rsidR="00DF7FF4" w:rsidRPr="00BA38B8" w:rsidRDefault="00DF7FF4" w:rsidP="009848E5">
      <w:pPr>
        <w:pStyle w:val="Hesber"/>
        <w:rPr>
          <w:rtl/>
        </w:rPr>
      </w:pPr>
      <w:r w:rsidRPr="00BA38B8">
        <w:rPr>
          <w:rtl/>
        </w:rPr>
        <w:t>תיקון זה נועד לעגן את ח</w:t>
      </w:r>
      <w:r w:rsidR="009848E5">
        <w:rPr>
          <w:rFonts w:hint="cs"/>
          <w:rtl/>
        </w:rPr>
        <w:t>י</w:t>
      </w:r>
      <w:r w:rsidRPr="00BA38B8">
        <w:rPr>
          <w:rtl/>
        </w:rPr>
        <w:t>רות הביטוי וחופש העיתונות בשידור הציבורי</w:t>
      </w:r>
      <w:r w:rsidR="009848E5">
        <w:rPr>
          <w:rFonts w:hint="cs"/>
          <w:rtl/>
        </w:rPr>
        <w:t>, בחוק השידור הציבורי הישראלי, התשע"ד</w:t>
      </w:r>
      <w:r w:rsidR="009848E5">
        <w:rPr>
          <w:rtl/>
        </w:rPr>
        <w:softHyphen/>
      </w:r>
      <w:r w:rsidR="009848E5">
        <w:rPr>
          <w:rFonts w:hint="cs"/>
          <w:rtl/>
        </w:rPr>
        <w:t>–2014</w:t>
      </w:r>
      <w:r w:rsidRPr="00BA38B8">
        <w:rPr>
          <w:rtl/>
        </w:rPr>
        <w:t>, ו</w:t>
      </w:r>
      <w:r w:rsidR="009848E5">
        <w:rPr>
          <w:rFonts w:hint="cs"/>
          <w:rtl/>
        </w:rPr>
        <w:t>לבטל</w:t>
      </w:r>
      <w:r w:rsidRPr="00BA38B8">
        <w:rPr>
          <w:rtl/>
        </w:rPr>
        <w:t xml:space="preserve"> את ה</w:t>
      </w:r>
      <w:r w:rsidR="009848E5">
        <w:rPr>
          <w:rFonts w:hint="cs"/>
          <w:rtl/>
        </w:rPr>
        <w:t>הוראה בחוק זה,</w:t>
      </w:r>
      <w:r w:rsidRPr="00BA38B8">
        <w:rPr>
          <w:rtl/>
        </w:rPr>
        <w:t xml:space="preserve"> האוסר</w:t>
      </w:r>
      <w:r w:rsidR="009848E5">
        <w:rPr>
          <w:rFonts w:hint="cs"/>
          <w:rtl/>
        </w:rPr>
        <w:t>ת</w:t>
      </w:r>
      <w:r w:rsidRPr="00BA38B8">
        <w:rPr>
          <w:rtl/>
        </w:rPr>
        <w:t xml:space="preserve"> על הבעת דעה אישית. </w:t>
      </w:r>
    </w:p>
    <w:p w14:paraId="55A00DA4" w14:textId="5AA92325" w:rsidR="00DF7FF4" w:rsidRPr="00BA38B8" w:rsidRDefault="00DF7FF4" w:rsidP="009848E5">
      <w:pPr>
        <w:pStyle w:val="Hesber"/>
        <w:rPr>
          <w:rtl/>
        </w:rPr>
      </w:pPr>
      <w:r w:rsidRPr="00BA38B8">
        <w:rPr>
          <w:rtl/>
        </w:rPr>
        <w:t>הסעיף המוצע מגדיר באופן הנהוג בעולם המערבי, החופשי והדמוקרטי, את היסודות של חירות הביטוי השמורה לעיתונאים. איסור על הבעת דעה מעקר מכל תוכן את העבודה העיתונאי</w:t>
      </w:r>
      <w:r w:rsidRPr="00BA38B8">
        <w:rPr>
          <w:rFonts w:hint="eastAsia"/>
          <w:rtl/>
        </w:rPr>
        <w:t>ת</w:t>
      </w:r>
      <w:r w:rsidRPr="00BA38B8">
        <w:rPr>
          <w:rtl/>
        </w:rPr>
        <w:t xml:space="preserve"> לסוגיה, הן בשידור ציבורי והן בכלי תקשורת בבעלות פרטית, בתקשורת המשודרת, המקוונת והמודפסת. איסור כזה מעניק בפועל בידי הממונים כלי חסר גבולות לדיכוי ולענישה של עיתונאים, שכן כמעט כל מ</w:t>
      </w:r>
      <w:r w:rsidR="001436ED">
        <w:rPr>
          <w:rFonts w:hint="cs"/>
          <w:rtl/>
        </w:rPr>
        <w:t>י</w:t>
      </w:r>
      <w:r w:rsidRPr="00BA38B8">
        <w:rPr>
          <w:rtl/>
        </w:rPr>
        <w:t>לה נאמרת היא בגדר עמדה כלשהי.</w:t>
      </w:r>
    </w:p>
    <w:p w14:paraId="78383DF1" w14:textId="6653CB0A" w:rsidR="00DF7FF4" w:rsidRPr="00BA38B8" w:rsidRDefault="00DF7FF4" w:rsidP="009848E5">
      <w:pPr>
        <w:pStyle w:val="Hesber"/>
        <w:rPr>
          <w:rtl/>
        </w:rPr>
      </w:pPr>
      <w:r w:rsidRPr="00BA38B8">
        <w:rPr>
          <w:rtl/>
        </w:rPr>
        <w:t>יודגש כי ח</w:t>
      </w:r>
      <w:r w:rsidR="00C05339">
        <w:rPr>
          <w:rFonts w:hint="cs"/>
          <w:rtl/>
        </w:rPr>
        <w:t>י</w:t>
      </w:r>
      <w:r w:rsidRPr="00BA38B8">
        <w:rPr>
          <w:rtl/>
        </w:rPr>
        <w:t>רות הב</w:t>
      </w:r>
      <w:r w:rsidR="00BA38B8" w:rsidRPr="00BA38B8">
        <w:rPr>
          <w:rFonts w:hint="eastAsia"/>
          <w:rtl/>
        </w:rPr>
        <w:t>י</w:t>
      </w:r>
      <w:r w:rsidRPr="00BA38B8">
        <w:rPr>
          <w:rtl/>
        </w:rPr>
        <w:t>טוי של העיתונאים אינה עומדת בסתירה לאתוס המקצועי של העיתונאי</w:t>
      </w:r>
      <w:r w:rsidR="000912A5">
        <w:rPr>
          <w:rFonts w:hint="cs"/>
          <w:rtl/>
        </w:rPr>
        <w:t>ם</w:t>
      </w:r>
      <w:r w:rsidRPr="00BA38B8">
        <w:rPr>
          <w:rtl/>
        </w:rPr>
        <w:t>, לחובה  להגינות ולמקצועיות, ולצורך בהצגת מג</w:t>
      </w:r>
      <w:r w:rsidRPr="00BA38B8">
        <w:rPr>
          <w:rFonts w:hint="eastAsia"/>
          <w:rtl/>
        </w:rPr>
        <w:t>ו</w:t>
      </w:r>
      <w:r w:rsidRPr="00BA38B8">
        <w:rPr>
          <w:rtl/>
        </w:rPr>
        <w:t>ון דעות במדיום. ואולם, כל אמירה טומנת בחובה תפיסת עולם</w:t>
      </w:r>
      <w:r w:rsidR="009848E5">
        <w:rPr>
          <w:rFonts w:hint="cs"/>
          <w:rtl/>
        </w:rPr>
        <w:t>.</w:t>
      </w:r>
      <w:r w:rsidRPr="00BA38B8">
        <w:rPr>
          <w:rtl/>
        </w:rPr>
        <w:t xml:space="preserve"> ברור לכל בר דעת כי </w:t>
      </w:r>
      <w:r w:rsidR="009848E5">
        <w:rPr>
          <w:rFonts w:hint="cs"/>
          <w:rtl/>
        </w:rPr>
        <w:t>איסור הבעת דעה המעוגן ב</w:t>
      </w:r>
      <w:r w:rsidRPr="00BA38B8">
        <w:rPr>
          <w:rtl/>
        </w:rPr>
        <w:t>חוק הנוכחי</w:t>
      </w:r>
      <w:r w:rsidR="009848E5">
        <w:rPr>
          <w:rFonts w:hint="cs"/>
          <w:rtl/>
        </w:rPr>
        <w:t>,</w:t>
      </w:r>
      <w:r w:rsidRPr="00BA38B8">
        <w:rPr>
          <w:rtl/>
        </w:rPr>
        <w:t xml:space="preserve"> אינו מאפשר עבודה עיתונאית ולו הפשוטה ביותר, כגון שאילת שאלות, ביצוע תחקיר או מתן פרשנות להתרחשויות.</w:t>
      </w:r>
    </w:p>
    <w:p w14:paraId="20AD3FF0" w14:textId="04105B60" w:rsidR="00DF7FF4" w:rsidRDefault="00DF7FF4" w:rsidP="001436ED">
      <w:pPr>
        <w:pStyle w:val="Hesber"/>
        <w:rPr>
          <w:rtl/>
        </w:rPr>
      </w:pPr>
      <w:r w:rsidRPr="00BA38B8">
        <w:rPr>
          <w:rtl/>
        </w:rPr>
        <w:lastRenderedPageBreak/>
        <w:t>חופש הביטוי של התקשורת הוא אחד היסודות הבסיסיים ביותר של משטר דמוקרטי, ועד כה לא עוגן במפורש בחקיקה בישראל. עיגונו כעת בחוק השידור הציבורי</w:t>
      </w:r>
      <w:r w:rsidR="00BA38B8" w:rsidRPr="00BA38B8">
        <w:rPr>
          <w:rtl/>
        </w:rPr>
        <w:t xml:space="preserve"> </w:t>
      </w:r>
      <w:r w:rsidR="00BA38B8">
        <w:rPr>
          <w:rFonts w:hint="cs"/>
          <w:rtl/>
        </w:rPr>
        <w:t>ה</w:t>
      </w:r>
      <w:r w:rsidR="00BA38B8" w:rsidRPr="00BA38B8">
        <w:rPr>
          <w:rFonts w:hint="eastAsia"/>
          <w:rtl/>
        </w:rPr>
        <w:t>ישראלי</w:t>
      </w:r>
      <w:r w:rsidRPr="00BA38B8">
        <w:rPr>
          <w:rtl/>
        </w:rPr>
        <w:t xml:space="preserve"> יהווה סמן חיוני גם עבור כלי תקשורת אחרים. כמו כן, עיגון מפורש זה יגן על מקצועיותם ועל חובת הנאמנות של העיתונאים כלפי הציבור, כנגד לחצים המופעלים הן מידי בעלי כוח פוליטי והן מידי בעלי הון.</w:t>
      </w:r>
    </w:p>
    <w:p w14:paraId="2DFE5E5F" w14:textId="3EB7F070" w:rsidR="006F143E" w:rsidRDefault="006F143E" w:rsidP="001436ED">
      <w:pPr>
        <w:pStyle w:val="Hesber"/>
        <w:rPr>
          <w:rtl/>
        </w:rPr>
      </w:pPr>
    </w:p>
    <w:p w14:paraId="320D2E5A" w14:textId="77777777" w:rsidR="006F143E" w:rsidRDefault="006F143E" w:rsidP="001436ED">
      <w:pPr>
        <w:pStyle w:val="Hesber"/>
        <w:rPr>
          <w:rtl/>
        </w:rPr>
      </w:pPr>
    </w:p>
    <w:p w14:paraId="4E2A5C6C" w14:textId="77777777" w:rsidR="006F143E" w:rsidRPr="00BA38B8" w:rsidRDefault="006F143E" w:rsidP="001436ED">
      <w:pPr>
        <w:pStyle w:val="Hesber"/>
        <w:rPr>
          <w:rtl/>
        </w:rPr>
      </w:pPr>
      <w:bookmarkStart w:id="8" w:name="_GoBack"/>
      <w:bookmarkEnd w:id="8"/>
    </w:p>
    <w:p w14:paraId="317A978E" w14:textId="77777777" w:rsidR="00DF7FF4" w:rsidRDefault="00DF7FF4" w:rsidP="00DF7FF4">
      <w:pPr>
        <w:pStyle w:val="Hesber"/>
        <w:rPr>
          <w:rtl/>
        </w:rPr>
      </w:pPr>
    </w:p>
    <w:p w14:paraId="14B6A860" w14:textId="77777777" w:rsidR="00C05339" w:rsidRPr="00D73212" w:rsidRDefault="00C05339" w:rsidP="001526A3">
      <w:pPr>
        <w:pStyle w:val="Hesber"/>
        <w:rPr>
          <w:color w:val="auto"/>
          <w:rtl/>
          <w:lang w:eastAsia="en-US"/>
        </w:rPr>
      </w:pPr>
      <w:r w:rsidRPr="00D73212">
        <w:rPr>
          <w:color w:val="auto"/>
          <w:rtl/>
          <w:lang w:eastAsia="en-US"/>
        </w:rPr>
        <w:t>---------------------------------</w:t>
      </w:r>
    </w:p>
    <w:p w14:paraId="3E66210C" w14:textId="77777777" w:rsidR="00C05339" w:rsidRPr="00D73212" w:rsidRDefault="00C05339" w:rsidP="001526A3">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6F0EAFB5" w14:textId="77777777" w:rsidR="00C05339" w:rsidRPr="00D73212" w:rsidRDefault="00C05339" w:rsidP="001526A3">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2177B79B" w14:textId="77777777" w:rsidR="00C05339" w:rsidRPr="00317312" w:rsidRDefault="00C05339" w:rsidP="001526A3">
      <w:pPr>
        <w:pStyle w:val="Hesber"/>
      </w:pPr>
      <w:r>
        <w:rPr>
          <w:rFonts w:hint="cs"/>
          <w:color w:val="auto"/>
          <w:rtl/>
          <w:lang w:eastAsia="en-US"/>
        </w:rPr>
        <w:t>כ' בחשוון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ו</w:t>
      </w:r>
      <w:r w:rsidRPr="00D73212">
        <w:rPr>
          <w:color w:val="auto"/>
          <w:rtl/>
          <w:lang w:eastAsia="en-US"/>
        </w:rPr>
        <w:t xml:space="preserve"> – </w:t>
      </w:r>
      <w:r>
        <w:rPr>
          <w:rFonts w:hint="cs"/>
          <w:color w:val="auto"/>
          <w:rtl/>
          <w:lang w:eastAsia="en-US"/>
        </w:rPr>
        <w:t>2</w:t>
      </w:r>
      <w:r w:rsidRPr="00D73212">
        <w:rPr>
          <w:color w:val="auto"/>
          <w:rtl/>
          <w:lang w:eastAsia="en-US"/>
        </w:rPr>
        <w:t>.</w:t>
      </w:r>
      <w:r>
        <w:rPr>
          <w:rFonts w:hint="cs"/>
          <w:color w:val="auto"/>
          <w:rtl/>
          <w:lang w:eastAsia="en-US"/>
        </w:rPr>
        <w:t>11</w:t>
      </w:r>
      <w:r w:rsidRPr="00D73212">
        <w:rPr>
          <w:color w:val="auto"/>
          <w:rtl/>
          <w:lang w:eastAsia="en-US"/>
        </w:rPr>
        <w:t>.1</w:t>
      </w:r>
      <w:r>
        <w:rPr>
          <w:rFonts w:hint="cs"/>
          <w:color w:val="auto"/>
          <w:rtl/>
          <w:lang w:eastAsia="en-US"/>
        </w:rPr>
        <w:t>5</w:t>
      </w:r>
    </w:p>
    <w:p w14:paraId="7F6961CB" w14:textId="0B6E74E0" w:rsidR="00E13C27" w:rsidRDefault="00E13C27" w:rsidP="00C05339">
      <w:pP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6F143E">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747261E4" w14:textId="5CC9429A" w:rsidR="00475EE7" w:rsidRDefault="00475EE7">
      <w:pPr>
        <w:pStyle w:val="a4"/>
        <w:rPr>
          <w:rtl/>
        </w:rPr>
      </w:pPr>
      <w:r>
        <w:rPr>
          <w:rStyle w:val="a6"/>
        </w:rPr>
        <w:footnoteRef/>
      </w:r>
      <w:r>
        <w:rPr>
          <w:rtl/>
        </w:rPr>
        <w:t xml:space="preserve"> </w:t>
      </w:r>
      <w:r w:rsidRPr="00B05EFF">
        <w:rPr>
          <w:rtl/>
        </w:rPr>
        <w:t>ס"ח</w:t>
      </w:r>
      <w:r>
        <w:rPr>
          <w:rtl/>
        </w:rPr>
        <w:t xml:space="preserve"> התשע"ד, עמ' 778; התשע"ה, עמ' 284.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912A5"/>
    <w:rsid w:val="000A542E"/>
    <w:rsid w:val="00102B6B"/>
    <w:rsid w:val="001052D4"/>
    <w:rsid w:val="0010644B"/>
    <w:rsid w:val="001207F8"/>
    <w:rsid w:val="00121924"/>
    <w:rsid w:val="001279A8"/>
    <w:rsid w:val="0014195F"/>
    <w:rsid w:val="001436ED"/>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3730F"/>
    <w:rsid w:val="0036422C"/>
    <w:rsid w:val="003710F6"/>
    <w:rsid w:val="00386E88"/>
    <w:rsid w:val="00396585"/>
    <w:rsid w:val="003D6E38"/>
    <w:rsid w:val="003D74A0"/>
    <w:rsid w:val="004033D8"/>
    <w:rsid w:val="004073F0"/>
    <w:rsid w:val="00412A7D"/>
    <w:rsid w:val="00416B4D"/>
    <w:rsid w:val="00417CFC"/>
    <w:rsid w:val="00475EE7"/>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A70BF"/>
    <w:rsid w:val="006C1D0D"/>
    <w:rsid w:val="006F143E"/>
    <w:rsid w:val="0070601E"/>
    <w:rsid w:val="00712C72"/>
    <w:rsid w:val="00735FE9"/>
    <w:rsid w:val="00763CAA"/>
    <w:rsid w:val="00765F66"/>
    <w:rsid w:val="0078664F"/>
    <w:rsid w:val="007C3FA6"/>
    <w:rsid w:val="007D585A"/>
    <w:rsid w:val="007D5A12"/>
    <w:rsid w:val="007E59F9"/>
    <w:rsid w:val="00810BCD"/>
    <w:rsid w:val="00812C98"/>
    <w:rsid w:val="00814D92"/>
    <w:rsid w:val="00816731"/>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848E5"/>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A38B8"/>
    <w:rsid w:val="00BB03AE"/>
    <w:rsid w:val="00BC45FB"/>
    <w:rsid w:val="00BF148D"/>
    <w:rsid w:val="00C05339"/>
    <w:rsid w:val="00C23B1A"/>
    <w:rsid w:val="00C310EB"/>
    <w:rsid w:val="00C9176A"/>
    <w:rsid w:val="00CF1AA2"/>
    <w:rsid w:val="00D17774"/>
    <w:rsid w:val="00D63620"/>
    <w:rsid w:val="00D8410D"/>
    <w:rsid w:val="00D867D7"/>
    <w:rsid w:val="00DB7060"/>
    <w:rsid w:val="00DE3153"/>
    <w:rsid w:val="00DF7FF4"/>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50D8515E-8995-4769-B9CD-F032EB55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locked/>
    <w:rsid w:val="00DF7FF4"/>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2208-D344-4F43-8DC9-12A8C7DCA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16036E15-F043-4B08-B8B0-071CCA49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342</Words>
  <Characters>1710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9</cp:revision>
  <cp:lastPrinted>2015-10-28T09:59:00Z</cp:lastPrinted>
  <dcterms:created xsi:type="dcterms:W3CDTF">2015-04-20T09:58:00Z</dcterms:created>
  <dcterms:modified xsi:type="dcterms:W3CDTF">2015-10-28T10:00:00Z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569003</vt:r8>
  </property>
</Properties>
</file>