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563729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59ADA26C" w:rsidR="00E13C27" w:rsidRPr="003871CD" w:rsidRDefault="008F6665" w:rsidP="007313B7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 w:rsidRPr="003871CD">
        <w:rPr>
          <w:b/>
          <w:bCs/>
          <w:rtl/>
        </w:rPr>
        <w:t>יוזמים:      חברי הכנסת</w:t>
      </w:r>
      <w:bookmarkEnd w:id="2"/>
      <w:r w:rsidR="00B35784" w:rsidRPr="003871CD">
        <w:rPr>
          <w:b/>
          <w:bCs/>
        </w:rPr>
        <w:tab/>
      </w:r>
      <w:bookmarkStart w:id="3" w:name="LGS_PM_Names"/>
      <w:r w:rsidRPr="003871CD">
        <w:rPr>
          <w:rFonts w:hint="cs"/>
          <w:b/>
          <w:bCs/>
          <w:rtl/>
        </w:rPr>
        <w:t>אורי מקלב</w:t>
      </w:r>
      <w:r w:rsidRPr="003871CD">
        <w:br/>
      </w:r>
      <w:r w:rsidRPr="003871CD">
        <w:rPr>
          <w:rFonts w:hint="cs"/>
          <w:b/>
          <w:bCs/>
          <w:rtl/>
        </w:rPr>
        <w:t xml:space="preserve"> </w:t>
      </w:r>
      <w:r w:rsidRPr="003871CD">
        <w:tab/>
      </w:r>
      <w:r w:rsidRPr="003871CD">
        <w:tab/>
      </w:r>
      <w:r w:rsidRPr="003871CD">
        <w:tab/>
      </w:r>
      <w:r w:rsidRPr="003871CD">
        <w:tab/>
      </w:r>
      <w:r w:rsidRPr="003871CD">
        <w:rPr>
          <w:rFonts w:hint="cs"/>
          <w:b/>
          <w:bCs/>
          <w:rtl/>
        </w:rPr>
        <w:t>משה גפני</w:t>
      </w:r>
      <w:r w:rsidRPr="003871CD">
        <w:br/>
      </w:r>
      <w:r w:rsidRPr="003871CD">
        <w:rPr>
          <w:rFonts w:hint="cs"/>
          <w:b/>
          <w:bCs/>
          <w:rtl/>
        </w:rPr>
        <w:t xml:space="preserve"> </w:t>
      </w:r>
      <w:r w:rsidRPr="003871CD">
        <w:tab/>
      </w:r>
      <w:r w:rsidRPr="003871CD">
        <w:tab/>
      </w:r>
      <w:r w:rsidRPr="003871CD">
        <w:tab/>
      </w:r>
      <w:r w:rsidRPr="003871CD">
        <w:tab/>
      </w:r>
      <w:r w:rsidRPr="003871CD">
        <w:rPr>
          <w:rFonts w:hint="cs"/>
          <w:b/>
          <w:bCs/>
          <w:rtl/>
        </w:rPr>
        <w:t>אורלי לוי אבקסיס</w:t>
      </w:r>
      <w:bookmarkEnd w:id="3"/>
    </w:p>
    <w:p w14:paraId="7F6961AA" w14:textId="4796B51B" w:rsidR="00E13C27" w:rsidRPr="00CF1AA2" w:rsidRDefault="007D585A" w:rsidP="007313B7">
      <w:pPr>
        <w:pStyle w:val="David"/>
        <w:spacing w:line="360" w:lineRule="auto"/>
        <w:ind w:left="3544"/>
        <w:rPr>
          <w:b/>
          <w:bCs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7F6961AB" w14:textId="1A02760E" w:rsidR="00E13C27" w:rsidRPr="00E06736" w:rsidRDefault="0014195F" w:rsidP="007313B7">
      <w:pPr>
        <w:pStyle w:val="David"/>
        <w:spacing w:line="360" w:lineRule="auto"/>
        <w:ind w:left="3544"/>
        <w:rPr>
          <w:rtl/>
        </w:rPr>
      </w:pPr>
      <w:r w:rsidRPr="00CF1AA2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961CE" wp14:editId="7F6961CF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A84531" id="Freeform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 w:rsidRPr="00E06736">
        <w:rPr>
          <w:rFonts w:hint="cs"/>
          <w:rtl/>
        </w:rPr>
        <w:tab/>
      </w:r>
      <w:bookmarkStart w:id="6" w:name="_GoBack"/>
      <w:bookmarkEnd w:id="6"/>
      <w:r w:rsidR="00416B4D">
        <w:tab/>
      </w:r>
      <w:r w:rsidR="00FA5E88">
        <w:tab/>
      </w:r>
      <w:r w:rsidR="00E13C27" w:rsidRPr="00E06736">
        <w:rPr>
          <w:rFonts w:hint="cs"/>
          <w:rtl/>
        </w:rPr>
        <w:tab/>
      </w:r>
      <w:r w:rsidR="00E06736" w:rsidRPr="00E06736">
        <w:tab/>
      </w:r>
      <w:bookmarkStart w:id="7" w:name="Private_Number"/>
      <w:r>
        <w:rPr>
          <w:rFonts w:hint="cs"/>
          <w:rtl/>
        </w:rPr>
        <w:t>פ/1667/20</w:t>
      </w:r>
      <w:bookmarkEnd w:id="7"/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</w:p>
    <w:p w14:paraId="7F6961AC" w14:textId="77777777" w:rsidR="00E13C27" w:rsidRDefault="00E13C27" w:rsidP="007313B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E" w14:textId="31502D8F" w:rsidR="00E13C27" w:rsidRPr="00E50500" w:rsidRDefault="00A443CF" w:rsidP="007313B7">
      <w:pPr>
        <w:pStyle w:val="HeadHatzaotHok"/>
        <w:rPr>
          <w:sz w:val="26"/>
          <w:rtl/>
        </w:rPr>
      </w:pPr>
      <w:bookmarkStart w:id="8" w:name="LGS_Subject"/>
      <w:r w:rsidRPr="00E50500">
        <w:rPr>
          <w:rFonts w:hint="eastAsia"/>
          <w:sz w:val="26"/>
          <w:rtl/>
        </w:rPr>
        <w:t>הצעת</w:t>
      </w:r>
      <w:r w:rsidRPr="00E50500">
        <w:rPr>
          <w:sz w:val="26"/>
          <w:rtl/>
        </w:rPr>
        <w:t xml:space="preserve"> </w:t>
      </w:r>
      <w:r w:rsidRPr="00E50500">
        <w:rPr>
          <w:rFonts w:hint="eastAsia"/>
          <w:sz w:val="26"/>
          <w:rtl/>
        </w:rPr>
        <w:t>חוק</w:t>
      </w:r>
      <w:r w:rsidRPr="00E50500">
        <w:rPr>
          <w:sz w:val="26"/>
          <w:rtl/>
        </w:rPr>
        <w:t xml:space="preserve"> </w:t>
      </w:r>
      <w:r w:rsidRPr="00E50500">
        <w:rPr>
          <w:rFonts w:hint="eastAsia"/>
          <w:sz w:val="26"/>
          <w:rtl/>
        </w:rPr>
        <w:t>סינון</w:t>
      </w:r>
      <w:r w:rsidRPr="00E50500">
        <w:rPr>
          <w:sz w:val="26"/>
          <w:rtl/>
        </w:rPr>
        <w:t xml:space="preserve"> </w:t>
      </w:r>
      <w:r w:rsidRPr="00E50500">
        <w:rPr>
          <w:rFonts w:hint="eastAsia"/>
          <w:sz w:val="26"/>
          <w:rtl/>
        </w:rPr>
        <w:t>אתרים</w:t>
      </w:r>
      <w:r w:rsidRPr="00E50500">
        <w:rPr>
          <w:sz w:val="26"/>
          <w:rtl/>
        </w:rPr>
        <w:t xml:space="preserve"> </w:t>
      </w:r>
      <w:r w:rsidRPr="00E50500">
        <w:rPr>
          <w:rFonts w:hint="eastAsia"/>
          <w:sz w:val="26"/>
          <w:rtl/>
        </w:rPr>
        <w:t>פוגעניים</w:t>
      </w:r>
      <w:r w:rsidRPr="00E50500">
        <w:rPr>
          <w:sz w:val="26"/>
          <w:rtl/>
        </w:rPr>
        <w:t xml:space="preserve"> </w:t>
      </w:r>
      <w:r w:rsidRPr="00E50500">
        <w:rPr>
          <w:rFonts w:hint="eastAsia"/>
          <w:sz w:val="26"/>
          <w:rtl/>
        </w:rPr>
        <w:t>במקומות</w:t>
      </w:r>
      <w:r w:rsidRPr="00E50500">
        <w:rPr>
          <w:sz w:val="26"/>
          <w:rtl/>
        </w:rPr>
        <w:t xml:space="preserve"> </w:t>
      </w:r>
      <w:r w:rsidRPr="00E50500">
        <w:rPr>
          <w:rFonts w:hint="eastAsia"/>
          <w:sz w:val="26"/>
          <w:rtl/>
        </w:rPr>
        <w:t>ציבוריים</w:t>
      </w:r>
      <w:r w:rsidRPr="00E50500">
        <w:rPr>
          <w:sz w:val="26"/>
          <w:rtl/>
        </w:rPr>
        <w:t xml:space="preserve">, </w:t>
      </w:r>
      <w:r w:rsidRPr="00E50500">
        <w:rPr>
          <w:rFonts w:hint="eastAsia"/>
          <w:sz w:val="26"/>
          <w:rtl/>
        </w:rPr>
        <w:t>התשע</w:t>
      </w:r>
      <w:r w:rsidRPr="00E50500">
        <w:rPr>
          <w:sz w:val="26"/>
          <w:rtl/>
        </w:rPr>
        <w:t>"ה–2015</w:t>
      </w:r>
      <w:bookmarkEnd w:id="8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7146"/>
      </w:tblGrid>
      <w:tr w:rsidR="00AF7156" w:rsidRPr="006610A8" w14:paraId="2134E602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C7ADCAF" w14:textId="77777777" w:rsidR="00AF7156" w:rsidRPr="003871CD" w:rsidRDefault="00AF7156" w:rsidP="003871CD">
            <w:pPr>
              <w:pStyle w:val="TableSideHeading"/>
              <w:ind w:right="0"/>
            </w:pPr>
            <w:r w:rsidRPr="003871CD">
              <w:rPr>
                <w:rtl/>
              </w:rPr>
              <w:t>הגדרות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70DF45" w14:textId="77777777" w:rsidR="00AF7156" w:rsidRPr="003871CD" w:rsidRDefault="00AF7156" w:rsidP="003871CD">
            <w:pPr>
              <w:pStyle w:val="TableText"/>
              <w:ind w:right="0"/>
              <w:jc w:val="both"/>
            </w:pPr>
            <w:r w:rsidRPr="003871CD">
              <w:rPr>
                <w:rtl/>
              </w:rPr>
              <w:t xml:space="preserve">1.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75322EA8" w14:textId="0A48369F" w:rsidR="00AF7156" w:rsidRPr="003871CD" w:rsidRDefault="00AF7156" w:rsidP="003871CD">
            <w:pPr>
              <w:pStyle w:val="TableBlock"/>
            </w:pPr>
            <w:r w:rsidRPr="003871CD">
              <w:rPr>
                <w:rtl/>
              </w:rPr>
              <w:t>בחוק זה –</w:t>
            </w:r>
          </w:p>
        </w:tc>
      </w:tr>
      <w:tr w:rsidR="00AF7156" w:rsidRPr="00F956BD" w14:paraId="1EAE1756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568A1B0" w14:textId="77777777" w:rsidR="00AF7156" w:rsidRPr="003871CD" w:rsidRDefault="00AF7156" w:rsidP="003871CD">
            <w:pPr>
              <w:pStyle w:val="TableSideHeading"/>
              <w:ind w:right="0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A0F90F1" w14:textId="77777777" w:rsidR="00AF7156" w:rsidRPr="003871CD" w:rsidRDefault="00AF7156" w:rsidP="003871CD">
            <w:pPr>
              <w:pStyle w:val="TableText"/>
              <w:ind w:right="0"/>
              <w:jc w:val="both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62382346" w14:textId="0DB43F59" w:rsidR="00AF7156" w:rsidRPr="003871CD" w:rsidRDefault="00AF7156" w:rsidP="003871CD">
            <w:pPr>
              <w:pStyle w:val="TableBlockOutdent"/>
            </w:pPr>
            <w:r w:rsidRPr="003871CD">
              <w:rPr>
                <w:rtl/>
              </w:rPr>
              <w:t>"אתר פוגעני"</w:t>
            </w:r>
            <w:r w:rsidRPr="003871CD">
              <w:rPr>
                <w:rFonts w:hint="cs"/>
                <w:rtl/>
              </w:rPr>
              <w:t xml:space="preserve"> ו</w:t>
            </w:r>
            <w:r w:rsidRPr="003871CD">
              <w:rPr>
                <w:rtl/>
              </w:rPr>
              <w:t xml:space="preserve">"תוכן פוגעני" – </w:t>
            </w:r>
            <w:r w:rsidRPr="003871CD">
              <w:rPr>
                <w:rFonts w:hint="cs"/>
                <w:rtl/>
              </w:rPr>
              <w:t>כהגדרתם בסעיף 4ט(א) ל</w:t>
            </w:r>
            <w:r w:rsidRPr="003871CD">
              <w:rPr>
                <w:rtl/>
              </w:rPr>
              <w:t>חוק התקשורת (בזק ושידורים), התשמ"ב–1982</w:t>
            </w:r>
            <w:r w:rsidRPr="003871CD">
              <w:rPr>
                <w:sz w:val="10"/>
                <w:szCs w:val="16"/>
                <w:rtl/>
              </w:rPr>
              <w:footnoteReference w:id="2"/>
            </w:r>
            <w:r w:rsidRPr="003871CD">
              <w:rPr>
                <w:rFonts w:hint="cs"/>
                <w:rtl/>
              </w:rPr>
              <w:t>;</w:t>
            </w:r>
          </w:p>
        </w:tc>
      </w:tr>
      <w:tr w:rsidR="00AF7156" w:rsidRPr="00F956BD" w14:paraId="395183AE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C20F18" w14:textId="77777777" w:rsidR="00AF7156" w:rsidRPr="003871CD" w:rsidRDefault="00AF7156" w:rsidP="003871CD">
            <w:pPr>
              <w:pStyle w:val="TableSideHeading"/>
              <w:ind w:right="0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C9BED3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78AA537B" w14:textId="77777777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Fonts w:hint="cs"/>
                <w:rtl/>
              </w:rPr>
              <w:t>"מוסד</w:t>
            </w:r>
            <w:r>
              <w:rPr>
                <w:rFonts w:hint="cs"/>
                <w:rtl/>
              </w:rPr>
              <w:t xml:space="preserve"> לימוד</w:t>
            </w:r>
            <w:r w:rsidRPr="00F956BD">
              <w:rPr>
                <w:rFonts w:hint="cs"/>
                <w:rtl/>
              </w:rPr>
              <w:t xml:space="preserve">" </w:t>
            </w:r>
            <w:r w:rsidRPr="006610A8">
              <w:rPr>
                <w:rtl/>
              </w:rPr>
              <w:t xml:space="preserve">– </w:t>
            </w:r>
            <w:r w:rsidRPr="00F956BD">
              <w:rPr>
                <w:rFonts w:hint="cs"/>
                <w:rtl/>
              </w:rPr>
              <w:t>בית ספר כהגדרתו ב</w:t>
            </w:r>
            <w:r w:rsidRPr="00F956BD">
              <w:rPr>
                <w:rtl/>
              </w:rPr>
              <w:t xml:space="preserve">חוק פיקוח על בתי ספר, </w:t>
            </w:r>
            <w:r>
              <w:rPr>
                <w:rFonts w:hint="cs"/>
                <w:rtl/>
              </w:rPr>
              <w:t>ה</w:t>
            </w:r>
            <w:r w:rsidRPr="00F956BD">
              <w:rPr>
                <w:rtl/>
              </w:rPr>
              <w:t>תשכ"ט</w:t>
            </w:r>
            <w:r>
              <w:rPr>
                <w:rFonts w:hint="cs"/>
                <w:rtl/>
              </w:rPr>
              <w:t>–</w:t>
            </w:r>
            <w:r w:rsidRPr="00F956BD">
              <w:rPr>
                <w:rtl/>
              </w:rPr>
              <w:t>1969</w:t>
            </w:r>
            <w:r>
              <w:rPr>
                <w:rStyle w:val="a5"/>
                <w:sz w:val="26"/>
                <w:rtl/>
              </w:rPr>
              <w:footnoteReference w:id="3"/>
            </w:r>
            <w:r>
              <w:rPr>
                <w:rFonts w:hint="cs"/>
                <w:rtl/>
              </w:rPr>
              <w:t>,</w:t>
            </w:r>
            <w:r w:rsidRPr="00F956BD">
              <w:rPr>
                <w:rFonts w:hint="cs"/>
                <w:rtl/>
              </w:rPr>
              <w:t xml:space="preserve"> או מוסד להשכלה גבוהה כהגדרתו ב</w:t>
            </w:r>
            <w:r w:rsidRPr="00F956BD">
              <w:rPr>
                <w:rtl/>
              </w:rPr>
              <w:t xml:space="preserve">חוק המועצה להשכלה גבוהה, </w:t>
            </w:r>
            <w:r>
              <w:rPr>
                <w:rFonts w:hint="cs"/>
                <w:rtl/>
              </w:rPr>
              <w:t>ה</w:t>
            </w:r>
            <w:r w:rsidRPr="00F956BD">
              <w:rPr>
                <w:rtl/>
              </w:rPr>
              <w:t>תשי"ח</w:t>
            </w:r>
            <w:r>
              <w:rPr>
                <w:rFonts w:hint="cs"/>
                <w:rtl/>
              </w:rPr>
              <w:t>–</w:t>
            </w:r>
            <w:r w:rsidRPr="00F956BD">
              <w:rPr>
                <w:rtl/>
              </w:rPr>
              <w:t>1958</w:t>
            </w:r>
            <w:r>
              <w:rPr>
                <w:rStyle w:val="a5"/>
                <w:sz w:val="26"/>
                <w:rtl/>
              </w:rPr>
              <w:footnoteReference w:id="4"/>
            </w:r>
            <w:r>
              <w:rPr>
                <w:rFonts w:hint="cs"/>
                <w:rtl/>
              </w:rPr>
              <w:t>;</w:t>
            </w:r>
          </w:p>
        </w:tc>
      </w:tr>
      <w:tr w:rsidR="00AF7156" w:rsidRPr="00F956BD" w14:paraId="6A71935B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7357691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9124FAD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3E875FC3" w14:textId="7FD34754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tl/>
              </w:rPr>
              <w:t>"מקום ציבורי" – כל מקום הפתוח ל</w:t>
            </w:r>
            <w:r w:rsidR="00574D58">
              <w:rPr>
                <w:rFonts w:hint="cs"/>
                <w:rtl/>
              </w:rPr>
              <w:t>ציבור</w:t>
            </w:r>
            <w:r w:rsidRPr="00F956BD">
              <w:rPr>
                <w:rtl/>
              </w:rPr>
              <w:t xml:space="preserve">, לרבות משרדי הממשלה והשלטון המקומי, אתר תיירות, בית מלון, אכסניה, בית הארחה, גן ציבורי, מסעדה, בית קפה, </w:t>
            </w:r>
            <w:r w:rsidR="00574D58" w:rsidRPr="003871CD">
              <w:rPr>
                <w:rFonts w:hint="cs"/>
                <w:rtl/>
              </w:rPr>
              <w:t>מוסד</w:t>
            </w:r>
            <w:r w:rsidR="00574D58">
              <w:rPr>
                <w:rFonts w:hint="cs"/>
                <w:rtl/>
              </w:rPr>
              <w:t xml:space="preserve"> לימוד</w:t>
            </w:r>
            <w:r w:rsidRPr="00F956BD">
              <w:rPr>
                <w:rFonts w:hint="cs"/>
                <w:rtl/>
              </w:rPr>
              <w:t xml:space="preserve">, </w:t>
            </w:r>
            <w:r w:rsidRPr="00F956BD">
              <w:rPr>
                <w:rtl/>
              </w:rPr>
              <w:t>אולם המשמש למופע</w:t>
            </w:r>
            <w:r>
              <w:rPr>
                <w:rtl/>
              </w:rPr>
              <w:t>י בידור ותרבות, מוזיאון, ספריה,</w:t>
            </w:r>
            <w:r w:rsidRPr="00F956BD">
              <w:rPr>
                <w:rtl/>
              </w:rPr>
              <w:t xml:space="preserve"> אולם או מיתקן ספורט, בריכת שחיה, קניון, חנות, </w:t>
            </w:r>
            <w:r w:rsidRPr="00F956BD">
              <w:rPr>
                <w:rFonts w:hint="cs"/>
                <w:rtl/>
              </w:rPr>
              <w:t>אוטובוס, רכבת, מונית</w:t>
            </w:r>
            <w:r>
              <w:rPr>
                <w:rFonts w:hint="cs"/>
                <w:rtl/>
              </w:rPr>
              <w:t xml:space="preserve"> </w:t>
            </w:r>
            <w:r w:rsidRPr="00F956BD">
              <w:rPr>
                <w:rtl/>
              </w:rPr>
              <w:t>וכן מקום המציע שירותי תחבורה ציבורית;</w:t>
            </w:r>
          </w:p>
        </w:tc>
      </w:tr>
      <w:tr w:rsidR="00AF7156" w:rsidRPr="00F956BD" w14:paraId="498E6F63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2EE9E5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CFB5E1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478161B6" w14:textId="0C68871E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Fonts w:hint="cs"/>
                <w:rtl/>
              </w:rPr>
              <w:t>"עסק"</w:t>
            </w:r>
            <w:r>
              <w:rPr>
                <w:rFonts w:hint="cs"/>
                <w:rtl/>
              </w:rPr>
              <w:t xml:space="preserve"> </w:t>
            </w:r>
            <w:r w:rsidRPr="006610A8">
              <w:rPr>
                <w:rtl/>
              </w:rPr>
              <w:t>–</w:t>
            </w:r>
            <w:r w:rsidRPr="00F956BD">
              <w:rPr>
                <w:rFonts w:hint="cs"/>
                <w:rtl/>
              </w:rPr>
              <w:t xml:space="preserve"> עסק טעון </w:t>
            </w:r>
            <w:r w:rsidRPr="003871CD">
              <w:rPr>
                <w:rFonts w:hint="cs"/>
                <w:rtl/>
              </w:rPr>
              <w:t>רישוי</w:t>
            </w:r>
            <w:r w:rsidRPr="00F956BD">
              <w:rPr>
                <w:rFonts w:hint="cs"/>
                <w:rtl/>
              </w:rPr>
              <w:t xml:space="preserve"> לפי חוק רישוי עסקים, </w:t>
            </w:r>
            <w:r>
              <w:rPr>
                <w:rFonts w:hint="cs"/>
                <w:rtl/>
              </w:rPr>
              <w:t>ה</w:t>
            </w:r>
            <w:r w:rsidRPr="00F956BD">
              <w:rPr>
                <w:rFonts w:hint="cs"/>
                <w:rtl/>
              </w:rPr>
              <w:t>תשכ"ח</w:t>
            </w:r>
            <w:r>
              <w:rPr>
                <w:rFonts w:hint="eastAsia"/>
                <w:rtl/>
              </w:rPr>
              <w:t>–</w:t>
            </w:r>
            <w:r w:rsidRPr="00F956BD">
              <w:rPr>
                <w:rFonts w:hint="cs"/>
                <w:rtl/>
              </w:rPr>
              <w:t>1968</w:t>
            </w:r>
            <w:r>
              <w:rPr>
                <w:rStyle w:val="a5"/>
                <w:sz w:val="26"/>
                <w:rtl/>
              </w:rPr>
              <w:footnoteReference w:id="5"/>
            </w:r>
            <w:r>
              <w:rPr>
                <w:rFonts w:hint="cs"/>
                <w:rtl/>
              </w:rPr>
              <w:t>;</w:t>
            </w:r>
          </w:p>
        </w:tc>
      </w:tr>
      <w:tr w:rsidR="00AF7156" w:rsidRPr="00F956BD" w14:paraId="64A69A5C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5414DC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CB12B57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43D88657" w14:textId="5CFC4295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Fonts w:hint="cs"/>
                <w:rtl/>
              </w:rPr>
              <w:t>"ציבור"</w:t>
            </w:r>
            <w:r>
              <w:rPr>
                <w:rFonts w:hint="cs"/>
                <w:rtl/>
              </w:rPr>
              <w:t xml:space="preserve"> </w:t>
            </w:r>
            <w:r w:rsidR="003871CD">
              <w:rPr>
                <w:rtl/>
              </w:rPr>
              <w:t>–</w:t>
            </w:r>
            <w:r w:rsidR="007313B7">
              <w:rPr>
                <w:rFonts w:hint="cs"/>
                <w:rtl/>
              </w:rPr>
              <w:t xml:space="preserve"> </w:t>
            </w:r>
            <w:r w:rsidR="003871CD">
              <w:rPr>
                <w:rFonts w:hint="cs"/>
                <w:rtl/>
              </w:rPr>
              <w:t>א</w:t>
            </w:r>
            <w:r w:rsidRPr="00F956BD">
              <w:rPr>
                <w:rFonts w:hint="cs"/>
                <w:rtl/>
              </w:rPr>
              <w:t>דם שאינו נמנה ע</w:t>
            </w:r>
            <w:r>
              <w:rPr>
                <w:rFonts w:hint="cs"/>
                <w:rtl/>
              </w:rPr>
              <w:t>ם</w:t>
            </w:r>
            <w:r w:rsidRPr="00F956BD">
              <w:rPr>
                <w:rFonts w:hint="cs"/>
                <w:rtl/>
              </w:rPr>
              <w:t xml:space="preserve"> </w:t>
            </w:r>
            <w:r w:rsidRPr="003871CD">
              <w:rPr>
                <w:rFonts w:hint="cs"/>
                <w:rtl/>
              </w:rPr>
              <w:t>בעלי</w:t>
            </w:r>
            <w:r w:rsidRPr="00F956BD">
              <w:rPr>
                <w:rFonts w:hint="cs"/>
                <w:rtl/>
              </w:rPr>
              <w:t xml:space="preserve"> המקום</w:t>
            </w:r>
            <w:r>
              <w:rPr>
                <w:rFonts w:hint="cs"/>
                <w:rtl/>
              </w:rPr>
              <w:t xml:space="preserve"> הציבורי</w:t>
            </w:r>
            <w:r w:rsidR="003871CD">
              <w:rPr>
                <w:rFonts w:hint="cs"/>
                <w:rtl/>
              </w:rPr>
              <w:t xml:space="preserve"> או עובדיו</w:t>
            </w:r>
            <w:r>
              <w:rPr>
                <w:rFonts w:hint="cs"/>
                <w:rtl/>
              </w:rPr>
              <w:t>;</w:t>
            </w:r>
          </w:p>
        </w:tc>
      </w:tr>
      <w:tr w:rsidR="00AF7156" w:rsidRPr="00F956BD" w14:paraId="7CDA07AD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7CA4B2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6C7225F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307E6AF5" w14:textId="44EFD668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Fonts w:hint="cs"/>
                <w:rtl/>
              </w:rPr>
              <w:t>"רשות</w:t>
            </w:r>
            <w:r>
              <w:rPr>
                <w:rFonts w:hint="cs"/>
                <w:rtl/>
              </w:rPr>
              <w:t xml:space="preserve"> ציבורית</w:t>
            </w:r>
            <w:r w:rsidRPr="00F956BD">
              <w:rPr>
                <w:rFonts w:hint="cs"/>
                <w:rtl/>
              </w:rPr>
              <w:t xml:space="preserve">" </w:t>
            </w:r>
            <w:r w:rsidRPr="006610A8">
              <w:rPr>
                <w:rtl/>
              </w:rPr>
              <w:t xml:space="preserve">– </w:t>
            </w:r>
            <w:r w:rsidRPr="00F956BD">
              <w:rPr>
                <w:rFonts w:hint="cs"/>
                <w:rtl/>
              </w:rPr>
              <w:t xml:space="preserve">רשות מרשויות המדינה, רשות מקומית, </w:t>
            </w:r>
            <w:r w:rsidRPr="00F956BD">
              <w:rPr>
                <w:rtl/>
              </w:rPr>
              <w:t>תאגיד שהוקם על פי דין</w:t>
            </w:r>
            <w:r w:rsidRPr="00F956BD">
              <w:rPr>
                <w:rFonts w:hint="cs"/>
                <w:rtl/>
              </w:rPr>
              <w:t xml:space="preserve"> וכן גופים אחרים הממלאים תפקידים ציבוריים על פי דין</w:t>
            </w:r>
            <w:r>
              <w:rPr>
                <w:rFonts w:hint="cs"/>
                <w:rtl/>
              </w:rPr>
              <w:t>;</w:t>
            </w:r>
          </w:p>
        </w:tc>
      </w:tr>
      <w:tr w:rsidR="00AF7156" w:rsidRPr="00F956BD" w14:paraId="659BA8F3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656D69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5232ED5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61C88B7A" w14:textId="09075838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Fonts w:hint="cs"/>
                <w:rtl/>
              </w:rPr>
              <w:t xml:space="preserve">"שירות סינון אתרים </w:t>
            </w:r>
            <w:r w:rsidRPr="003871CD">
              <w:rPr>
                <w:rFonts w:hint="cs"/>
                <w:rtl/>
              </w:rPr>
              <w:t>פוגעניים</w:t>
            </w:r>
            <w:r w:rsidRPr="00F956BD">
              <w:rPr>
                <w:rFonts w:hint="cs"/>
                <w:rtl/>
              </w:rPr>
              <w:t xml:space="preserve">" </w:t>
            </w:r>
            <w:r w:rsidRPr="006610A8">
              <w:rPr>
                <w:rtl/>
              </w:rPr>
              <w:t xml:space="preserve">– </w:t>
            </w:r>
            <w:r w:rsidRPr="00F956BD">
              <w:rPr>
                <w:rFonts w:hint="cs"/>
                <w:rtl/>
              </w:rPr>
              <w:t>כאמור בסעיף 4ט(ד) ל</w:t>
            </w:r>
            <w:r w:rsidRPr="00F956BD">
              <w:rPr>
                <w:rtl/>
              </w:rPr>
              <w:t>חוק התקשורת (בזק ושידורים), התשמ"ב–1982</w:t>
            </w:r>
            <w:r>
              <w:rPr>
                <w:rFonts w:hint="cs"/>
                <w:rtl/>
              </w:rPr>
              <w:t>;</w:t>
            </w:r>
          </w:p>
        </w:tc>
      </w:tr>
      <w:tr w:rsidR="00AF7156" w:rsidRPr="00F956BD" w14:paraId="7531DE8B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AD661E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A335FB1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7FEAFE7C" w14:textId="77777777" w:rsidR="00AF7156" w:rsidRPr="00F956BD" w:rsidRDefault="00AF7156" w:rsidP="003871CD">
            <w:pPr>
              <w:pStyle w:val="TableBlockOutdent"/>
              <w:rPr>
                <w:rtl/>
              </w:rPr>
            </w:pPr>
            <w:r w:rsidRPr="00F956BD">
              <w:rPr>
                <w:rtl/>
              </w:rPr>
              <w:t xml:space="preserve">"שירותי תחבורה" – </w:t>
            </w:r>
            <w:r>
              <w:rPr>
                <w:rFonts w:hint="cs"/>
                <w:rtl/>
              </w:rPr>
              <w:t xml:space="preserve">שירותי תחבורה באמצעות </w:t>
            </w:r>
            <w:r w:rsidRPr="00F956BD">
              <w:rPr>
                <w:rtl/>
              </w:rPr>
              <w:t xml:space="preserve">אוטובוסים, רכבות, תובלה </w:t>
            </w:r>
            <w:r w:rsidRPr="003871CD">
              <w:rPr>
                <w:rtl/>
              </w:rPr>
              <w:t>אווירית</w:t>
            </w:r>
            <w:r w:rsidRPr="00F956BD">
              <w:rPr>
                <w:rtl/>
              </w:rPr>
              <w:t>, אניות, שירותי הסעה והשכרת רכב</w:t>
            </w:r>
            <w:r>
              <w:rPr>
                <w:rFonts w:hint="cs"/>
                <w:rtl/>
              </w:rPr>
              <w:t>;</w:t>
            </w:r>
          </w:p>
        </w:tc>
      </w:tr>
      <w:tr w:rsidR="00AF7156" w:rsidRPr="00F956BD" w14:paraId="7A76CC46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33724F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1B50542" w14:textId="77777777" w:rsidR="00AF7156" w:rsidRPr="006610A8" w:rsidRDefault="00AF7156" w:rsidP="00223DF3">
            <w:pPr>
              <w:pStyle w:val="TableText"/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48979688" w14:textId="77777777" w:rsidR="00AF7156" w:rsidRPr="00F956BD" w:rsidRDefault="00AF7156" w:rsidP="003871CD">
            <w:pPr>
              <w:pStyle w:val="TableBlockOutdent"/>
              <w:rPr>
                <w:sz w:val="26"/>
                <w:rtl/>
              </w:rPr>
            </w:pPr>
            <w:r>
              <w:rPr>
                <w:rFonts w:hint="cs"/>
                <w:rtl/>
              </w:rPr>
              <w:t xml:space="preserve">"השר" – שר </w:t>
            </w:r>
            <w:r w:rsidRPr="005E55C4">
              <w:rPr>
                <w:rFonts w:hint="cs"/>
                <w:rtl/>
              </w:rPr>
              <w:t>התקשורת</w:t>
            </w:r>
            <w:r>
              <w:rPr>
                <w:rFonts w:hint="cs"/>
                <w:rtl/>
              </w:rPr>
              <w:t>.</w:t>
            </w:r>
          </w:p>
        </w:tc>
      </w:tr>
      <w:tr w:rsidR="00AF7156" w:rsidRPr="00F956BD" w14:paraId="22BF93DC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8796B6" w14:textId="77777777" w:rsidR="00AF7156" w:rsidRPr="00F956BD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>חסימת אתרי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ם ותכנים</w:t>
            </w: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פוגעניים באינטרנט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AD9290" w14:textId="77777777" w:rsidR="00AF7156" w:rsidRPr="006610A8" w:rsidRDefault="00AF7156" w:rsidP="00223DF3">
            <w:pPr>
              <w:pStyle w:val="TableText"/>
            </w:pPr>
            <w:r w:rsidRPr="006610A8">
              <w:rPr>
                <w:rtl/>
              </w:rPr>
              <w:t xml:space="preserve">2.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63DCA555" w14:textId="5F28DE44" w:rsidR="00AF7156" w:rsidRPr="00F956BD" w:rsidRDefault="00AF7156" w:rsidP="00223DF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hAnsi="Arial" w:cs="David"/>
                <w:spacing w:val="0"/>
                <w:sz w:val="26"/>
                <w:szCs w:val="26"/>
              </w:rPr>
            </w:pP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(א)</w:t>
            </w:r>
            <w:r>
              <w:rPr>
                <w:rFonts w:ascii="Arial" w:hAnsi="Arial" w:cs="David"/>
                <w:spacing w:val="0"/>
                <w:sz w:val="26"/>
                <w:szCs w:val="26"/>
                <w:rtl/>
              </w:rPr>
              <w:tab/>
            </w: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>רשות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ציבורית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, תאגיד, מוסד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לימוד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, עסק, ספריה או מפעיל שירותי תחבורה, </w:t>
            </w: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>המאפשר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ים</w:t>
            </w: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 xml:space="preserve"> 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לציבור </w:t>
            </w: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 xml:space="preserve">גלישה 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באינטרנט במקום ציבורי</w:t>
            </w:r>
            <w:r w:rsidRPr="00F956BD">
              <w:rPr>
                <w:rFonts w:ascii="Arial" w:hAnsi="Arial" w:cs="David"/>
                <w:spacing w:val="0"/>
                <w:sz w:val="26"/>
                <w:szCs w:val="26"/>
                <w:rtl/>
              </w:rPr>
              <w:t xml:space="preserve">, 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יחסמו את האפשרות לגלישה באתר פוגעני או ב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גישה לת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וכן פוגעני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באינטרנט</w:t>
            </w:r>
            <w:r w:rsidRPr="00F956BD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, באמצעות שירות סינון אתרים פוגעניים.</w:t>
            </w:r>
          </w:p>
        </w:tc>
      </w:tr>
      <w:tr w:rsidR="00AF7156" w14:paraId="53156DB1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981A91" w14:textId="77777777" w:rsidR="00AF7156" w:rsidRPr="00F956BD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3FF6A2" w14:textId="77777777" w:rsidR="00AF7156" w:rsidRPr="006610A8" w:rsidRDefault="00AF7156" w:rsidP="00223DF3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38E5630B" w14:textId="77777777" w:rsidR="00AF7156" w:rsidRDefault="00AF7156" w:rsidP="00223DF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hAnsi="Arial" w:cs="David"/>
                <w:spacing w:val="0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(ב)</w:t>
            </w:r>
            <w:r>
              <w:rPr>
                <w:rFonts w:ascii="Arial" w:hAnsi="Arial" w:cs="David"/>
                <w:spacing w:val="0"/>
                <w:sz w:val="26"/>
                <w:szCs w:val="26"/>
                <w:rtl/>
              </w:rPr>
              <w:tab/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על אף האמור בסעיף קטן (א), מי שגילו 18 שנה ומעלה יוכל לבקש את הסרת שירות סינון אתרים פוגעניים, ובלבד שהגלישה באינטרנט תיעשה באמצעות קוד גישה ייחודי. </w:t>
            </w:r>
          </w:p>
        </w:tc>
      </w:tr>
      <w:tr w:rsidR="00AF7156" w:rsidRPr="006610A8" w14:paraId="44C6AA43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81E1130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עונשין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86623D" w14:textId="77777777" w:rsidR="00AF7156" w:rsidRPr="006610A8" w:rsidRDefault="00AF7156" w:rsidP="00223DF3">
            <w:pPr>
              <w:pStyle w:val="TableText"/>
            </w:pPr>
            <w:r>
              <w:rPr>
                <w:rFonts w:hint="cs"/>
                <w:rtl/>
              </w:rPr>
              <w:t>3</w:t>
            </w:r>
            <w:r w:rsidRPr="006610A8">
              <w:rPr>
                <w:rtl/>
              </w:rPr>
              <w:t>.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2273851F" w14:textId="1E6B219E" w:rsidR="00AF7156" w:rsidRPr="006610A8" w:rsidRDefault="00AF7156" w:rsidP="003871CD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hAnsi="Arial" w:cs="David"/>
                <w:spacing w:val="0"/>
                <w:sz w:val="26"/>
                <w:szCs w:val="26"/>
              </w:rPr>
            </w:pPr>
            <w:r w:rsidRPr="00FC2606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העובר על הוראות סעיף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2(א), דינו </w:t>
            </w:r>
            <w:r>
              <w:rPr>
                <w:rFonts w:ascii="Arial" w:hAnsi="Arial" w:cs="David" w:hint="eastAsia"/>
                <w:spacing w:val="0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קנס כ</w:t>
            </w:r>
            <w:r w:rsidRPr="00FC2606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אמור בסעיף</w:t>
            </w:r>
            <w:r w:rsidR="000E3B5B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</w:t>
            </w:r>
            <w:r w:rsidRPr="00FC2606"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61(א)(3) לחוק העונשין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, התשל"ז–1977</w:t>
            </w:r>
            <w:r w:rsidR="003871CD">
              <w:rPr>
                <w:rStyle w:val="a5"/>
                <w:rFonts w:ascii="Arial" w:hAnsi="Arial" w:cs="David"/>
                <w:spacing w:val="0"/>
                <w:sz w:val="26"/>
                <w:szCs w:val="26"/>
                <w:rtl/>
              </w:rPr>
              <w:footnoteReference w:id="6"/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.</w:t>
            </w:r>
          </w:p>
        </w:tc>
      </w:tr>
      <w:tr w:rsidR="00AF7156" w:rsidRPr="006610A8" w14:paraId="3155D095" w14:textId="77777777" w:rsidTr="003871CD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7EA86E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  <w:r w:rsidRPr="006610A8">
              <w:rPr>
                <w:rFonts w:ascii="Arial" w:hAnsi="Arial" w:cs="David"/>
                <w:spacing w:val="0"/>
                <w:sz w:val="26"/>
                <w:szCs w:val="26"/>
                <w:rtl/>
              </w:rPr>
              <w:t>ביצוע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ותקנות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A104080" w14:textId="77777777" w:rsidR="00AF7156" w:rsidRPr="006610A8" w:rsidRDefault="00AF7156" w:rsidP="00223DF3">
            <w:pPr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right="57" w:firstLine="0"/>
              <w:jc w:val="left"/>
              <w:rPr>
                <w:rFonts w:ascii="Arial" w:hAnsi="Arial" w:cs="David"/>
                <w:spacing w:val="0"/>
                <w:sz w:val="26"/>
                <w:szCs w:val="26"/>
              </w:rPr>
            </w:pP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>4.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3C8765B6" w14:textId="77777777" w:rsidR="00AF7156" w:rsidRPr="006610A8" w:rsidRDefault="00AF7156" w:rsidP="00223DF3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hAnsi="Arial" w:cs="David"/>
                <w:spacing w:val="0"/>
                <w:sz w:val="20"/>
                <w:szCs w:val="26"/>
              </w:rPr>
            </w:pPr>
            <w:r w:rsidRPr="006610A8">
              <w:rPr>
                <w:rFonts w:ascii="Arial" w:hAnsi="Arial" w:cs="David"/>
                <w:spacing w:val="0"/>
                <w:sz w:val="26"/>
                <w:szCs w:val="26"/>
                <w:rtl/>
              </w:rPr>
              <w:t>השר ממונה על ביצוע חוק זה</w:t>
            </w:r>
            <w:r>
              <w:rPr>
                <w:rFonts w:ascii="Arial" w:hAnsi="Arial" w:cs="David" w:hint="cs"/>
                <w:spacing w:val="0"/>
                <w:sz w:val="26"/>
                <w:szCs w:val="26"/>
                <w:rtl/>
              </w:rPr>
              <w:t xml:space="preserve"> והוא רשאי להתקין תקנות בכל הנוגע לביצועו</w:t>
            </w:r>
            <w:r w:rsidRPr="006610A8">
              <w:rPr>
                <w:rFonts w:ascii="Arial" w:hAnsi="Arial" w:cs="David"/>
                <w:spacing w:val="0"/>
                <w:sz w:val="26"/>
                <w:szCs w:val="26"/>
                <w:rtl/>
              </w:rPr>
              <w:t>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A204092" w14:textId="77777777" w:rsidR="00AF7156" w:rsidRPr="004A307A" w:rsidRDefault="00AF7156" w:rsidP="00AF7156">
      <w:pPr>
        <w:pStyle w:val="Hesber"/>
        <w:rPr>
          <w:rtl/>
          <w:lang w:eastAsia="he-IL"/>
        </w:rPr>
      </w:pPr>
      <w:r>
        <w:rPr>
          <w:rFonts w:hint="cs"/>
          <w:rtl/>
          <w:lang w:eastAsia="he-IL"/>
        </w:rPr>
        <w:t>מ</w:t>
      </w:r>
      <w:r w:rsidRPr="004A307A">
        <w:rPr>
          <w:rFonts w:hint="cs"/>
          <w:rtl/>
          <w:lang w:eastAsia="he-IL"/>
        </w:rPr>
        <w:t>נתוני מרכז המחקר והמידע של הכנסת בנושא "</w:t>
      </w:r>
      <w:r w:rsidRPr="004A307A">
        <w:rPr>
          <w:rtl/>
          <w:lang w:eastAsia="he-IL"/>
        </w:rPr>
        <w:t>פיקוח והגבלות על תכנים באינטרנט</w:t>
      </w:r>
      <w:r w:rsidRPr="004A307A">
        <w:rPr>
          <w:rFonts w:hint="cs"/>
          <w:rtl/>
          <w:lang w:eastAsia="he-IL"/>
        </w:rPr>
        <w:t xml:space="preserve"> </w:t>
      </w:r>
      <w:r w:rsidRPr="004A307A">
        <w:rPr>
          <w:rtl/>
          <w:lang w:eastAsia="he-IL"/>
        </w:rPr>
        <w:t>לצורך הגנה על ילדים ובני נוער</w:t>
      </w:r>
      <w:r w:rsidRPr="004A307A">
        <w:rPr>
          <w:rFonts w:hint="cs"/>
          <w:rtl/>
          <w:lang w:eastAsia="he-IL"/>
        </w:rPr>
        <w:t xml:space="preserve">" עולה כי 60% מהילדים בגילאי 9-18 נחשפים לאתרים פוגעניים </w:t>
      </w:r>
      <w:r>
        <w:rPr>
          <w:rFonts w:hint="cs"/>
          <w:rtl/>
          <w:lang w:eastAsia="he-IL"/>
        </w:rPr>
        <w:t xml:space="preserve">ולתוכן פוגעני </w:t>
      </w:r>
      <w:r w:rsidRPr="004A307A">
        <w:rPr>
          <w:rFonts w:hint="cs"/>
          <w:rtl/>
          <w:lang w:eastAsia="he-IL"/>
        </w:rPr>
        <w:t xml:space="preserve">ברשת האינטרנט, </w:t>
      </w:r>
      <w:r>
        <w:rPr>
          <w:rFonts w:hint="cs"/>
          <w:rtl/>
          <w:lang w:eastAsia="he-IL"/>
        </w:rPr>
        <w:t>ו</w:t>
      </w:r>
      <w:r w:rsidRPr="004A307A">
        <w:rPr>
          <w:rFonts w:hint="cs"/>
          <w:rtl/>
          <w:lang w:eastAsia="he-IL"/>
        </w:rPr>
        <w:t xml:space="preserve">בחלק גדול מהמקרים </w:t>
      </w:r>
      <w:r w:rsidRPr="005E55C4">
        <w:rPr>
          <w:rFonts w:hint="eastAsia"/>
          <w:rtl/>
          <w:lang w:eastAsia="he-IL"/>
        </w:rPr>
        <w:t>החשיפה</w:t>
      </w:r>
      <w:r w:rsidRPr="005E55C4">
        <w:rPr>
          <w:rtl/>
          <w:lang w:eastAsia="he-IL"/>
        </w:rPr>
        <w:t xml:space="preserve"> </w:t>
      </w:r>
      <w:r>
        <w:rPr>
          <w:rFonts w:hint="cs"/>
          <w:rtl/>
          <w:lang w:eastAsia="he-IL"/>
        </w:rPr>
        <w:t>אינה</w:t>
      </w:r>
      <w:r w:rsidRPr="005E55C4">
        <w:rPr>
          <w:rtl/>
          <w:lang w:eastAsia="he-IL"/>
        </w:rPr>
        <w:t xml:space="preserve"> מרצונם</w:t>
      </w:r>
      <w:r>
        <w:rPr>
          <w:rFonts w:hint="cs"/>
          <w:rtl/>
          <w:lang w:eastAsia="he-IL"/>
        </w:rPr>
        <w:t xml:space="preserve"> ואינה מכוונת</w:t>
      </w:r>
      <w:r w:rsidRPr="005E55C4">
        <w:rPr>
          <w:rtl/>
          <w:lang w:eastAsia="he-IL"/>
        </w:rPr>
        <w:t>.</w:t>
      </w:r>
      <w:r w:rsidRPr="004A307A">
        <w:rPr>
          <w:rFonts w:hint="cs"/>
          <w:rtl/>
          <w:lang w:eastAsia="he-IL"/>
        </w:rPr>
        <w:t xml:space="preserve"> אתרים אלו עלולים </w:t>
      </w:r>
      <w:r w:rsidRPr="004A307A">
        <w:rPr>
          <w:rtl/>
          <w:lang w:eastAsia="he-IL"/>
        </w:rPr>
        <w:t>לפגוע קשות בילד</w:t>
      </w:r>
      <w:r>
        <w:rPr>
          <w:rFonts w:hint="cs"/>
          <w:rtl/>
          <w:lang w:eastAsia="he-IL"/>
        </w:rPr>
        <w:t>ים</w:t>
      </w:r>
      <w:r w:rsidRPr="004A307A">
        <w:rPr>
          <w:rtl/>
          <w:lang w:eastAsia="he-IL"/>
        </w:rPr>
        <w:t xml:space="preserve"> ולהציג בפני</w:t>
      </w:r>
      <w:r>
        <w:rPr>
          <w:rFonts w:hint="cs"/>
          <w:rtl/>
          <w:lang w:eastAsia="he-IL"/>
        </w:rPr>
        <w:t>הם</w:t>
      </w:r>
      <w:r w:rsidRPr="004A307A">
        <w:rPr>
          <w:rtl/>
          <w:lang w:eastAsia="he-IL"/>
        </w:rPr>
        <w:t xml:space="preserve"> תמונה קשה ומעוותת</w:t>
      </w:r>
      <w:r>
        <w:rPr>
          <w:rFonts w:hint="cs"/>
          <w:rtl/>
          <w:lang w:eastAsia="he-IL"/>
        </w:rPr>
        <w:t xml:space="preserve"> של המציאות.</w:t>
      </w:r>
    </w:p>
    <w:p w14:paraId="1259D69E" w14:textId="35CC9DCB" w:rsidR="00AF7156" w:rsidRPr="004A307A" w:rsidRDefault="00AF7156" w:rsidP="00AF7156">
      <w:pPr>
        <w:pStyle w:val="Hesber"/>
        <w:rPr>
          <w:rtl/>
          <w:lang w:eastAsia="he-IL"/>
        </w:rPr>
      </w:pPr>
      <w:r w:rsidRPr="004A307A">
        <w:rPr>
          <w:rFonts w:hint="cs"/>
          <w:rtl/>
          <w:lang w:eastAsia="he-IL"/>
        </w:rPr>
        <w:t>בעבר תוקן החוק וכיום חלה חובה על ספקיות האינטרנט לאפשר למעוניינים בכך שירות חסימה לאתרים פוגעניים</w:t>
      </w:r>
      <w:r>
        <w:rPr>
          <w:rFonts w:hint="cs"/>
          <w:rtl/>
          <w:lang w:eastAsia="he-IL"/>
        </w:rPr>
        <w:t>,</w:t>
      </w:r>
      <w:r w:rsidRPr="004A307A">
        <w:rPr>
          <w:rFonts w:hint="cs"/>
          <w:rtl/>
          <w:lang w:eastAsia="he-IL"/>
        </w:rPr>
        <w:t xml:space="preserve"> ללא תשלום. תיקון זה סייע אמנם להורים המעוניינים בכך להגן על ילדיהם מפני אתרים פוגעניים במרחב הביתי, עם זאת </w:t>
      </w:r>
      <w:r>
        <w:rPr>
          <w:rFonts w:hint="cs"/>
          <w:rtl/>
          <w:lang w:eastAsia="he-IL"/>
        </w:rPr>
        <w:t>ב</w:t>
      </w:r>
      <w:r w:rsidRPr="004A307A">
        <w:rPr>
          <w:rtl/>
          <w:lang w:eastAsia="he-IL"/>
        </w:rPr>
        <w:t xml:space="preserve">מקומות ציבוריים רבים </w:t>
      </w:r>
      <w:r w:rsidRPr="004A307A">
        <w:rPr>
          <w:rFonts w:hint="cs"/>
          <w:rtl/>
          <w:lang w:eastAsia="he-IL"/>
        </w:rPr>
        <w:t xml:space="preserve">דוגמת </w:t>
      </w:r>
      <w:r w:rsidRPr="004A307A">
        <w:rPr>
          <w:rtl/>
          <w:lang w:eastAsia="he-IL"/>
        </w:rPr>
        <w:t>רשו</w:t>
      </w:r>
      <w:r w:rsidRPr="004A307A">
        <w:rPr>
          <w:rFonts w:hint="cs"/>
          <w:rtl/>
          <w:lang w:eastAsia="he-IL"/>
        </w:rPr>
        <w:t>יו</w:t>
      </w:r>
      <w:r w:rsidRPr="004A307A">
        <w:rPr>
          <w:rtl/>
          <w:lang w:eastAsia="he-IL"/>
        </w:rPr>
        <w:t>ת מקומית</w:t>
      </w:r>
      <w:r w:rsidRPr="004A307A">
        <w:rPr>
          <w:rFonts w:hint="cs"/>
          <w:rtl/>
          <w:lang w:eastAsia="he-IL"/>
        </w:rPr>
        <w:t>,</w:t>
      </w:r>
      <w:r w:rsidRPr="004A307A">
        <w:rPr>
          <w:rtl/>
          <w:lang w:eastAsia="he-IL"/>
        </w:rPr>
        <w:t xml:space="preserve"> רש</w:t>
      </w:r>
      <w:r w:rsidRPr="004A307A">
        <w:rPr>
          <w:rFonts w:hint="cs"/>
          <w:rtl/>
          <w:lang w:eastAsia="he-IL"/>
        </w:rPr>
        <w:t>וי</w:t>
      </w:r>
      <w:r w:rsidRPr="004A307A">
        <w:rPr>
          <w:rtl/>
          <w:lang w:eastAsia="he-IL"/>
        </w:rPr>
        <w:t>ות ציבורי</w:t>
      </w:r>
      <w:r w:rsidR="007313B7">
        <w:rPr>
          <w:rFonts w:hint="cs"/>
          <w:rtl/>
          <w:lang w:eastAsia="he-IL"/>
        </w:rPr>
        <w:t>ו</w:t>
      </w:r>
      <w:r w:rsidRPr="004A307A">
        <w:rPr>
          <w:rtl/>
          <w:lang w:eastAsia="he-IL"/>
        </w:rPr>
        <w:t xml:space="preserve">ת, </w:t>
      </w:r>
      <w:r w:rsidRPr="004A307A">
        <w:rPr>
          <w:rFonts w:hint="cs"/>
          <w:rtl/>
          <w:lang w:eastAsia="he-IL"/>
        </w:rPr>
        <w:t>נותני שירותי תחבורה ציבורית ו</w:t>
      </w:r>
      <w:r>
        <w:rPr>
          <w:rFonts w:hint="cs"/>
          <w:rtl/>
          <w:lang w:eastAsia="he-IL"/>
        </w:rPr>
        <w:t>כן ב</w:t>
      </w:r>
      <w:r w:rsidRPr="004A307A">
        <w:rPr>
          <w:rFonts w:hint="cs"/>
          <w:rtl/>
          <w:lang w:eastAsia="he-IL"/>
        </w:rPr>
        <w:t>בתי עסק,</w:t>
      </w:r>
      <w:r w:rsidRPr="004A307A">
        <w:rPr>
          <w:rtl/>
          <w:lang w:eastAsia="he-IL"/>
        </w:rPr>
        <w:t xml:space="preserve"> </w:t>
      </w:r>
      <w:r w:rsidRPr="004A307A">
        <w:rPr>
          <w:rFonts w:hint="cs"/>
          <w:rtl/>
          <w:lang w:eastAsia="he-IL"/>
        </w:rPr>
        <w:t xml:space="preserve">מאפשרים </w:t>
      </w:r>
      <w:r w:rsidRPr="004A307A">
        <w:rPr>
          <w:rtl/>
          <w:lang w:eastAsia="he-IL"/>
        </w:rPr>
        <w:t xml:space="preserve">לציבור הרחב גלישה חופשית </w:t>
      </w:r>
      <w:r w:rsidRPr="004A307A">
        <w:rPr>
          <w:rFonts w:hint="cs"/>
          <w:rtl/>
          <w:lang w:eastAsia="he-IL"/>
        </w:rPr>
        <w:t xml:space="preserve">ברשת האינטרנט בעיקר </w:t>
      </w:r>
      <w:r w:rsidRPr="004A307A">
        <w:rPr>
          <w:rtl/>
          <w:lang w:eastAsia="he-IL"/>
        </w:rPr>
        <w:t>באמצעות</w:t>
      </w:r>
      <w:r w:rsidRPr="004A307A">
        <w:rPr>
          <w:rFonts w:hint="cs"/>
          <w:rtl/>
          <w:lang w:eastAsia="he-IL"/>
        </w:rPr>
        <w:t xml:space="preserve"> רשת אינטרנט אלחוטית</w:t>
      </w:r>
      <w:r w:rsidRPr="004A307A">
        <w:rPr>
          <w:lang w:eastAsia="he-IL"/>
        </w:rPr>
        <w:t xml:space="preserve"> (Wi-Fi) </w:t>
      </w:r>
      <w:r w:rsidRPr="004A307A">
        <w:rPr>
          <w:rFonts w:hint="cs"/>
          <w:rtl/>
          <w:lang w:eastAsia="he-IL"/>
        </w:rPr>
        <w:t xml:space="preserve">ללא כל סינון, </w:t>
      </w:r>
      <w:r>
        <w:rPr>
          <w:rFonts w:hint="cs"/>
          <w:rtl/>
          <w:lang w:eastAsia="he-IL"/>
        </w:rPr>
        <w:t>ו</w:t>
      </w:r>
      <w:r w:rsidRPr="004A307A">
        <w:rPr>
          <w:rtl/>
          <w:lang w:eastAsia="he-IL"/>
        </w:rPr>
        <w:t xml:space="preserve">בין המשתמשים </w:t>
      </w:r>
      <w:r>
        <w:rPr>
          <w:rFonts w:hint="cs"/>
          <w:rtl/>
          <w:lang w:eastAsia="he-IL"/>
        </w:rPr>
        <w:t>בשירות זה י</w:t>
      </w:r>
      <w:r w:rsidRPr="004A307A">
        <w:rPr>
          <w:rtl/>
          <w:lang w:eastAsia="he-IL"/>
        </w:rPr>
        <w:t xml:space="preserve">שנם גם </w:t>
      </w:r>
      <w:r w:rsidRPr="004A307A">
        <w:rPr>
          <w:rFonts w:hint="cs"/>
          <w:rtl/>
          <w:lang w:eastAsia="he-IL"/>
        </w:rPr>
        <w:t>ילדים</w:t>
      </w:r>
      <w:r>
        <w:rPr>
          <w:rFonts w:hint="cs"/>
          <w:rtl/>
          <w:lang w:eastAsia="he-IL"/>
        </w:rPr>
        <w:t>, ה</w:t>
      </w:r>
      <w:r w:rsidRPr="004A307A">
        <w:rPr>
          <w:rtl/>
          <w:lang w:eastAsia="he-IL"/>
        </w:rPr>
        <w:t>יכול</w:t>
      </w:r>
      <w:r>
        <w:rPr>
          <w:rFonts w:hint="cs"/>
          <w:rtl/>
          <w:lang w:eastAsia="he-IL"/>
        </w:rPr>
        <w:t>ים</w:t>
      </w:r>
      <w:r w:rsidRPr="004A307A">
        <w:rPr>
          <w:rtl/>
          <w:lang w:eastAsia="he-IL"/>
        </w:rPr>
        <w:t xml:space="preserve"> לגלוש </w:t>
      </w:r>
      <w:r w:rsidRPr="004A307A">
        <w:rPr>
          <w:rFonts w:hint="cs"/>
          <w:rtl/>
          <w:lang w:eastAsia="he-IL"/>
        </w:rPr>
        <w:t xml:space="preserve">באינטרנט, </w:t>
      </w:r>
      <w:r w:rsidRPr="004A307A">
        <w:rPr>
          <w:rtl/>
          <w:lang w:eastAsia="he-IL"/>
        </w:rPr>
        <w:t>בצורה חופשית ללא כל הגבלה או סינון.</w:t>
      </w:r>
    </w:p>
    <w:p w14:paraId="1B8B1A02" w14:textId="21322A9E" w:rsidR="00AF7156" w:rsidRDefault="00AF7156" w:rsidP="007313B7">
      <w:pPr>
        <w:widowControl/>
        <w:autoSpaceDE/>
        <w:autoSpaceDN/>
        <w:adjustRightInd/>
        <w:spacing w:before="0" w:line="360" w:lineRule="auto"/>
        <w:textAlignment w:val="auto"/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</w:pPr>
      <w:r w:rsidRPr="004A307A"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  <w:t xml:space="preserve">מוצע לחייב </w:t>
      </w:r>
      <w:r w:rsidR="007C4DB6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רשות ציבורית, תאגיד, מוסד לימוד, עסק, ספריה ומפעיל שירותי תחבורה, </w:t>
      </w:r>
      <w:r w:rsidRPr="004A307A"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  <w:t>המאפשר</w:t>
      </w:r>
      <w:r w:rsidRPr="004A307A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ים</w:t>
      </w:r>
      <w:r w:rsidRPr="004A307A"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  <w:t xml:space="preserve"> גלישה חופשית</w:t>
      </w:r>
      <w:r w:rsidRPr="004A307A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 </w:t>
      </w:r>
      <w:r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באינטרנט </w:t>
      </w:r>
      <w:r w:rsidRPr="004A307A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לציבור</w:t>
      </w:r>
      <w:r w:rsidR="007C4DB6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,</w:t>
      </w:r>
      <w:r w:rsidRPr="004A307A"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  <w:t xml:space="preserve"> ל</w:t>
      </w:r>
      <w:r w:rsidRPr="004A307A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הפעיל </w:t>
      </w:r>
      <w:r w:rsidRPr="004A307A">
        <w:rPr>
          <w:rFonts w:cs="David" w:hint="cs"/>
          <w:sz w:val="26"/>
          <w:szCs w:val="26"/>
          <w:rtl/>
        </w:rPr>
        <w:t>כברירת מחדל שירות סינון אתרים פוגעניים,</w:t>
      </w:r>
      <w:r w:rsidRPr="004A307A"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  <w:t xml:space="preserve"> </w:t>
      </w:r>
      <w:r w:rsidRPr="004A307A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למעט כשהגלישה מתבצעת באמצעות קוד גישה ייחודי שיינתן לבני שמונה עשרה ומעלה </w:t>
      </w:r>
      <w:r w:rsidR="007C4DB6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ו</w:t>
      </w:r>
      <w:r w:rsidRPr="004A307A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על פי בקשתם.</w:t>
      </w:r>
      <w:r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 </w:t>
      </w:r>
    </w:p>
    <w:p w14:paraId="567894C1" w14:textId="51BBD415" w:rsidR="007313B7" w:rsidRDefault="00AF7156" w:rsidP="000E3B5B">
      <w:pPr>
        <w:widowControl/>
        <w:autoSpaceDE/>
        <w:autoSpaceDN/>
        <w:adjustRightInd/>
        <w:spacing w:before="0" w:line="360" w:lineRule="auto"/>
        <w:textAlignment w:val="auto"/>
        <w:rPr>
          <w:rFonts w:ascii="Times New Roman" w:eastAsiaTheme="minorEastAsia" w:hAnsi="Times New Roman" w:cs="David"/>
          <w:color w:val="auto"/>
          <w:spacing w:val="0"/>
          <w:sz w:val="26"/>
          <w:szCs w:val="26"/>
          <w:rtl/>
          <w:lang w:eastAsia="he-IL"/>
        </w:rPr>
      </w:pPr>
      <w:r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 xml:space="preserve">הצעת חוק זהה הונחה על שולחן הכנסת התשע-עשרה על ידי חבר הכנסת אורי מקלב וקבוצת חברי </w:t>
      </w:r>
      <w:r w:rsidR="003871CD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ה</w:t>
      </w:r>
      <w:r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כנסת (</w:t>
      </w:r>
      <w:r w:rsidRPr="00CB1A91">
        <w:rPr>
          <w:rFonts w:cs="David"/>
          <w:sz w:val="26"/>
          <w:szCs w:val="26"/>
          <w:rtl/>
        </w:rPr>
        <w:t>פ/2810/19</w:t>
      </w:r>
      <w:r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)</w:t>
      </w:r>
      <w:r w:rsidR="00F0171B">
        <w:rPr>
          <w:rFonts w:ascii="Times New Roman" w:eastAsiaTheme="minorEastAsia" w:hAnsi="Times New Roman" w:cs="David" w:hint="cs"/>
          <w:color w:val="auto"/>
          <w:spacing w:val="0"/>
          <w:sz w:val="26"/>
          <w:szCs w:val="26"/>
          <w:rtl/>
          <w:lang w:eastAsia="he-IL"/>
        </w:rPr>
        <w:t>.</w:t>
      </w:r>
    </w:p>
    <w:p w14:paraId="1BCE6887" w14:textId="77777777" w:rsidR="007313B7" w:rsidRPr="00557D2C" w:rsidRDefault="007313B7" w:rsidP="000E3B5B">
      <w:pPr>
        <w:pStyle w:val="Hesber"/>
        <w:spacing w:line="240" w:lineRule="auto"/>
        <w:rPr>
          <w:rtl/>
        </w:rPr>
      </w:pPr>
      <w:r w:rsidRPr="00557D2C">
        <w:rPr>
          <w:rtl/>
        </w:rPr>
        <w:t>---------------------------------</w:t>
      </w:r>
    </w:p>
    <w:p w14:paraId="588CC9ED" w14:textId="77777777" w:rsidR="007313B7" w:rsidRPr="00557D2C" w:rsidRDefault="007313B7" w:rsidP="000E3B5B">
      <w:pPr>
        <w:pStyle w:val="Hesber"/>
        <w:spacing w:line="240" w:lineRule="auto"/>
        <w:rPr>
          <w:rtl/>
        </w:rPr>
      </w:pPr>
      <w:r w:rsidRPr="00557D2C">
        <w:rPr>
          <w:rtl/>
        </w:rPr>
        <w:t>הוגשה ליו"ר הכנסת והסגנים</w:t>
      </w:r>
    </w:p>
    <w:p w14:paraId="2C2B737F" w14:textId="77777777" w:rsidR="007313B7" w:rsidRPr="00557D2C" w:rsidRDefault="007313B7" w:rsidP="000E3B5B">
      <w:pPr>
        <w:pStyle w:val="Hesber"/>
        <w:spacing w:line="240" w:lineRule="auto"/>
        <w:rPr>
          <w:rtl/>
        </w:rPr>
      </w:pPr>
      <w:r w:rsidRPr="00557D2C">
        <w:rPr>
          <w:rtl/>
        </w:rPr>
        <w:t>והונחה על שולחן הכנסת ביום</w:t>
      </w:r>
    </w:p>
    <w:p w14:paraId="7F6961CB" w14:textId="292B01F1" w:rsidR="00E13C27" w:rsidRDefault="007313B7" w:rsidP="000E3B5B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י"ט</w:t>
      </w:r>
      <w:r w:rsidRPr="00557D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בתמוז </w:t>
      </w:r>
      <w:r w:rsidRPr="00557D2C">
        <w:rPr>
          <w:rFonts w:hint="cs"/>
          <w:rtl/>
        </w:rPr>
        <w:t xml:space="preserve">התשע"ה </w:t>
      </w:r>
      <w:r w:rsidRPr="00557D2C">
        <w:rPr>
          <w:rtl/>
        </w:rPr>
        <w:t>–</w:t>
      </w:r>
      <w:r>
        <w:rPr>
          <w:rFonts w:hint="cs"/>
          <w:rtl/>
        </w:rPr>
        <w:t xml:space="preserve"> 6.7.15</w:t>
      </w:r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61D3" w14:textId="77777777" w:rsidR="00C23B1A" w:rsidRDefault="00C23B1A">
      <w:r>
        <w:separator/>
      </w:r>
    </w:p>
  </w:endnote>
  <w:endnote w:type="continuationSeparator" w:id="0">
    <w:p w14:paraId="7F6961D4" w14:textId="77777777" w:rsidR="00C23B1A" w:rsidRDefault="00C2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50500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61D0" w14:textId="77777777" w:rsidR="00C23B1A" w:rsidRDefault="00C23B1A">
      <w:r>
        <w:separator/>
      </w:r>
    </w:p>
  </w:footnote>
  <w:footnote w:type="continuationSeparator" w:id="0">
    <w:p w14:paraId="7F6961D1" w14:textId="77777777" w:rsidR="00C23B1A" w:rsidRDefault="00C23B1A">
      <w:r>
        <w:continuationSeparator/>
      </w:r>
    </w:p>
  </w:footnote>
  <w:footnote w:type="continuationNotice" w:id="1">
    <w:p w14:paraId="7F6961D2" w14:textId="77777777" w:rsidR="00C23B1A" w:rsidRDefault="00C23B1A"/>
  </w:footnote>
  <w:footnote w:id="2">
    <w:p w14:paraId="442FB953" w14:textId="77777777" w:rsidR="00AF7156" w:rsidRDefault="00AF7156" w:rsidP="00AF715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התשמ"ב, עמ' 218.</w:t>
      </w:r>
    </w:p>
  </w:footnote>
  <w:footnote w:id="3">
    <w:p w14:paraId="75E56CC8" w14:textId="77777777" w:rsidR="00AF7156" w:rsidRDefault="00AF7156" w:rsidP="00AF7156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התשכ"ט, עמ' 180.</w:t>
      </w:r>
    </w:p>
  </w:footnote>
  <w:footnote w:id="4">
    <w:p w14:paraId="7D8B275E" w14:textId="77777777" w:rsidR="00AF7156" w:rsidRDefault="00AF7156" w:rsidP="00AF715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התשי"ח, עמ' 191.</w:t>
      </w:r>
    </w:p>
  </w:footnote>
  <w:footnote w:id="5">
    <w:p w14:paraId="5E7244F2" w14:textId="77777777" w:rsidR="00AF7156" w:rsidRDefault="00AF7156" w:rsidP="00AF715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התשכ"ח, עמ' 204.</w:t>
      </w:r>
    </w:p>
  </w:footnote>
  <w:footnote w:id="6">
    <w:p w14:paraId="512C6AB6" w14:textId="2A838490" w:rsidR="003871CD" w:rsidRDefault="003871C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התשל"ז, עמ' 226.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7681A"/>
    <w:rsid w:val="000A542E"/>
    <w:rsid w:val="000E3B5B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203A7F"/>
    <w:rsid w:val="002200A1"/>
    <w:rsid w:val="002362BF"/>
    <w:rsid w:val="00241B97"/>
    <w:rsid w:val="00246756"/>
    <w:rsid w:val="00251E58"/>
    <w:rsid w:val="00254605"/>
    <w:rsid w:val="002728B4"/>
    <w:rsid w:val="0027600C"/>
    <w:rsid w:val="00292712"/>
    <w:rsid w:val="002A487D"/>
    <w:rsid w:val="002C2E29"/>
    <w:rsid w:val="002D1EE3"/>
    <w:rsid w:val="002F1D80"/>
    <w:rsid w:val="003232A2"/>
    <w:rsid w:val="00325C14"/>
    <w:rsid w:val="003710F6"/>
    <w:rsid w:val="00386E88"/>
    <w:rsid w:val="003871CD"/>
    <w:rsid w:val="00396585"/>
    <w:rsid w:val="003D74A0"/>
    <w:rsid w:val="004033D8"/>
    <w:rsid w:val="004073F0"/>
    <w:rsid w:val="00412A7D"/>
    <w:rsid w:val="00416B4D"/>
    <w:rsid w:val="00417CFC"/>
    <w:rsid w:val="004B24ED"/>
    <w:rsid w:val="004D2D82"/>
    <w:rsid w:val="004D3876"/>
    <w:rsid w:val="004E4552"/>
    <w:rsid w:val="00553C9D"/>
    <w:rsid w:val="00562A66"/>
    <w:rsid w:val="00574D58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13B7"/>
    <w:rsid w:val="00735FE9"/>
    <w:rsid w:val="00763CAA"/>
    <w:rsid w:val="00765F66"/>
    <w:rsid w:val="007C3FA6"/>
    <w:rsid w:val="007C4DB6"/>
    <w:rsid w:val="007D585A"/>
    <w:rsid w:val="007D5A12"/>
    <w:rsid w:val="007E59F9"/>
    <w:rsid w:val="00810BCD"/>
    <w:rsid w:val="00812C98"/>
    <w:rsid w:val="00814D92"/>
    <w:rsid w:val="0083181D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2C35"/>
    <w:rsid w:val="008F6665"/>
    <w:rsid w:val="0091204F"/>
    <w:rsid w:val="009203DB"/>
    <w:rsid w:val="00923CD4"/>
    <w:rsid w:val="00943386"/>
    <w:rsid w:val="009456B6"/>
    <w:rsid w:val="00957589"/>
    <w:rsid w:val="00966D06"/>
    <w:rsid w:val="00982412"/>
    <w:rsid w:val="00983A8D"/>
    <w:rsid w:val="009A7257"/>
    <w:rsid w:val="009D6E0A"/>
    <w:rsid w:val="00A14672"/>
    <w:rsid w:val="00A26BD6"/>
    <w:rsid w:val="00A443CF"/>
    <w:rsid w:val="00A6611D"/>
    <w:rsid w:val="00A82CB7"/>
    <w:rsid w:val="00AA2F03"/>
    <w:rsid w:val="00AC36F7"/>
    <w:rsid w:val="00AC63A4"/>
    <w:rsid w:val="00AD239E"/>
    <w:rsid w:val="00AF7156"/>
    <w:rsid w:val="00B10265"/>
    <w:rsid w:val="00B21211"/>
    <w:rsid w:val="00B35784"/>
    <w:rsid w:val="00B733A7"/>
    <w:rsid w:val="00B975AD"/>
    <w:rsid w:val="00BC45FB"/>
    <w:rsid w:val="00BF148D"/>
    <w:rsid w:val="00C23B1A"/>
    <w:rsid w:val="00C310EB"/>
    <w:rsid w:val="00C9176A"/>
    <w:rsid w:val="00CF1AA2"/>
    <w:rsid w:val="00D63620"/>
    <w:rsid w:val="00D8410D"/>
    <w:rsid w:val="00D867D7"/>
    <w:rsid w:val="00DB7060"/>
    <w:rsid w:val="00DE3153"/>
    <w:rsid w:val="00E06736"/>
    <w:rsid w:val="00E13C27"/>
    <w:rsid w:val="00E33BBD"/>
    <w:rsid w:val="00E45103"/>
    <w:rsid w:val="00E50500"/>
    <w:rsid w:val="00E665B9"/>
    <w:rsid w:val="00EA01E6"/>
    <w:rsid w:val="00EA3DE8"/>
    <w:rsid w:val="00EA758F"/>
    <w:rsid w:val="00ED4A6F"/>
    <w:rsid w:val="00EF3A3A"/>
    <w:rsid w:val="00F0171B"/>
    <w:rsid w:val="00F628D6"/>
    <w:rsid w:val="00F67051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0DC3B7AB-DCD1-4E37-9522-9015FCB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C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3871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3871CD"/>
    <w:rPr>
      <w:sz w:val="36"/>
      <w:szCs w:val="52"/>
    </w:rPr>
  </w:style>
  <w:style w:type="paragraph" w:customStyle="1" w:styleId="Cover3-Haknesset">
    <w:name w:val="Cover 3-Haknesset"/>
    <w:basedOn w:val="Cover1-Reshumot"/>
    <w:rsid w:val="003871CD"/>
    <w:rPr>
      <w:b/>
      <w:bCs/>
      <w:spacing w:val="60"/>
    </w:rPr>
  </w:style>
  <w:style w:type="paragraph" w:customStyle="1" w:styleId="Cover4-Date">
    <w:name w:val="Cover 4-Date"/>
    <w:basedOn w:val="a"/>
    <w:rsid w:val="003871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3871C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3871C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3871C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3871C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3871C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3871CD"/>
  </w:style>
  <w:style w:type="paragraph" w:customStyle="1" w:styleId="TableBlock">
    <w:name w:val="Table Block"/>
    <w:basedOn w:val="TableText"/>
    <w:rsid w:val="003871CD"/>
    <w:pPr>
      <w:ind w:right="0"/>
      <w:jc w:val="both"/>
    </w:pPr>
  </w:style>
  <w:style w:type="paragraph" w:customStyle="1" w:styleId="TableHead">
    <w:name w:val="Table Head"/>
    <w:basedOn w:val="TableText"/>
    <w:rsid w:val="003871C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3871CD"/>
  </w:style>
  <w:style w:type="paragraph" w:customStyle="1" w:styleId="Hesber">
    <w:name w:val="Hesber"/>
    <w:basedOn w:val="a"/>
    <w:rsid w:val="003871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3871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3871CD"/>
    <w:rPr>
      <w:vertAlign w:val="superscript"/>
    </w:rPr>
  </w:style>
  <w:style w:type="paragraph" w:customStyle="1" w:styleId="HesberHeading">
    <w:name w:val="Hesber Heading"/>
    <w:basedOn w:val="Hesber"/>
    <w:rsid w:val="003871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3871C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3871C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3871CD"/>
    <w:rPr>
      <w:vertAlign w:val="superscript"/>
    </w:rPr>
  </w:style>
  <w:style w:type="paragraph" w:customStyle="1" w:styleId="TableBlockOutdent">
    <w:name w:val="Table BlockOutdent"/>
    <w:basedOn w:val="TableBlock"/>
    <w:rsid w:val="003871CD"/>
    <w:pPr>
      <w:ind w:left="624" w:hanging="624"/>
    </w:pPr>
  </w:style>
  <w:style w:type="paragraph" w:styleId="a7">
    <w:name w:val="header"/>
    <w:basedOn w:val="a"/>
    <w:rsid w:val="003871C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871C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3871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3871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3871C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customStyle="1" w:styleId="P00">
    <w:name w:val="P00"/>
    <w:rsid w:val="00574D58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/>
      <w:noProof/>
      <w:szCs w:val="26"/>
      <w:lang w:eastAsia="he-IL"/>
    </w:rPr>
  </w:style>
  <w:style w:type="character" w:customStyle="1" w:styleId="default">
    <w:name w:val="default"/>
    <w:basedOn w:val="a0"/>
    <w:rsid w:val="00574D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1D01-CE27-4C7D-9F16-226B6776D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81F80-F2D7-4A37-8CE2-A3152B49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552</Words>
  <Characters>2585</Characters>
  <Application>Microsoft Office Word</Application>
  <DocSecurity>0</DocSecurity>
  <Lines>198</Lines>
  <Paragraphs>104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8</cp:revision>
  <cp:lastPrinted>2015-07-06T05:33:00Z</cp:lastPrinted>
  <dcterms:created xsi:type="dcterms:W3CDTF">2015-03-26T08:06:00Z</dcterms:created>
  <dcterms:modified xsi:type="dcterms:W3CDTF">2015-07-06T05:33:00Z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0354fdee-f711-4d2a-9cf2-2d1c4d9ac92a</vt:lpwstr>
  </property>
  <property fmtid="{D5CDD505-2E9C-101B-9397-08002B2CF9AE}" pid="4" name="SanhedrinDocumentType">
    <vt:r8>10</vt:r8>
  </property>
  <property fmtid="{D5CDD505-2E9C-101B-9397-08002B2CF9AE}" pid="5" name="SanhedrinItemID">
    <vt:r8>563729</vt:r8>
  </property>
</Properties>
</file>