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562513</w:t>
      </w:r>
      <w:bookmarkEnd w:id="0"/>
    </w:p>
    <w:p w14:paraId="7F6961A2" w14:textId="0A32ABEB"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sidR="00391E0C">
        <w:rPr>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67561A5C" w:rsidR="00E13C27" w:rsidRPr="00CF1AA2" w:rsidRDefault="008F6665" w:rsidP="00B03444">
      <w:pPr>
        <w:pStyle w:val="David"/>
        <w:spacing w:line="360" w:lineRule="auto"/>
        <w:ind w:left="3544"/>
        <w:rPr>
          <w:b/>
          <w:bCs/>
          <w:rtl/>
        </w:rPr>
      </w:pPr>
      <w:bookmarkStart w:id="2" w:name="LGS_Initiators_List"/>
      <w:r>
        <w:rPr>
          <w:b/>
          <w:bCs/>
          <w:rtl/>
        </w:rPr>
        <w:t>יוזמות:      חברות הכנסת</w:t>
      </w:r>
      <w:bookmarkEnd w:id="2"/>
      <w:r w:rsidR="00B35784" w:rsidRPr="00F67051">
        <w:rPr>
          <w:b/>
          <w:bCs/>
        </w:rPr>
        <w:tab/>
      </w:r>
      <w:bookmarkStart w:id="3" w:name="LGS_PM_Names"/>
      <w:r>
        <w:rPr>
          <w:rFonts w:hint="cs"/>
          <w:b/>
          <w:bCs/>
          <w:rtl/>
        </w:rPr>
        <w:t>תמר זנדברג</w:t>
      </w:r>
      <w:r>
        <w:br/>
      </w:r>
      <w:r>
        <w:rPr>
          <w:rFonts w:hint="cs"/>
          <w:b/>
          <w:bCs/>
          <w:rtl/>
        </w:rPr>
        <w:t xml:space="preserve"> </w:t>
      </w:r>
      <w:r>
        <w:tab/>
      </w:r>
      <w:r>
        <w:tab/>
      </w:r>
      <w:r>
        <w:tab/>
      </w:r>
      <w:r>
        <w:tab/>
      </w:r>
      <w:r>
        <w:rPr>
          <w:rFonts w:hint="cs"/>
          <w:b/>
          <w:bCs/>
          <w:rtl/>
        </w:rPr>
        <w:t>זהבה גלאון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7F6961AB" w14:textId="1A02760E"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14="http://schemas.microsoft.com/office/drawing/2010/main" xmlns:a="http://schemas.openxmlformats.org/drawingml/2006/main">
            <w:pict>
              <v:polyline id="Freeform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9,27" o:spid="_x0000_s1026" filled="f" points=".1pt,5.1pt,305.55pt,3.75pt" w14:anchorId="21D28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פ/263/20</w:t>
      </w:r>
      <w:bookmarkEnd w:id="6"/>
      <w:r w:rsidR="00E13C27" w:rsidRPr="00E06736">
        <w:rPr>
          <w:rFonts w:hint="cs"/>
          <w:rtl/>
        </w:rPr>
        <w:tab/>
      </w:r>
      <w:r w:rsidR="00E13C27" w:rsidRPr="00E06736">
        <w:rPr>
          <w:rFonts w:hint="cs"/>
          <w:rtl/>
        </w:rPr>
        <w:tab/>
      </w:r>
      <w:r w:rsidR="00E13C27" w:rsidRPr="00E06736">
        <w:rPr>
          <w:rFonts w:hint="cs"/>
          <w:rtl/>
        </w:rPr>
        <w:tab/>
      </w:r>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B03444">
      <w:pPr>
        <w:pStyle w:val="HeadHatzaotHok"/>
        <w:rPr>
          <w:rtl/>
        </w:rPr>
      </w:pPr>
      <w:bookmarkStart w:id="7" w:name="LGS_Subject"/>
      <w:r>
        <w:rPr>
          <w:rFonts w:hint="cs"/>
          <w:rtl/>
        </w:rPr>
        <w:t>הצעת חוק הפיקוח על יצוא ביטחוני (תיקון – הגבלות על יצוא ביטחוני לכוחות ביטחון שביצעו הפרות חמורות של זכויות אדם), התשע"ה–2015</w:t>
      </w:r>
      <w:bookmarkEnd w:id="7"/>
    </w:p>
    <w:p w14:paraId="7F6961AE" w14:textId="77777777" w:rsidR="00E13C27" w:rsidRDefault="00E13C27" w:rsidP="0000131B">
      <w:pPr>
        <w:pStyle w:val="HeadDivreiHesber"/>
        <w:spacing w:before="0" w:after="0" w:line="240" w:lineRule="auto"/>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3"/>
      </w:tblGrid>
      <w:tr w:rsidR="002E728B" w:rsidRPr="00A70E27" w14:paraId="7ED34750" w14:textId="77777777" w:rsidTr="00FD5C7E">
        <w:trPr>
          <w:cantSplit/>
        </w:trPr>
        <w:tc>
          <w:tcPr>
            <w:tcW w:w="1871" w:type="dxa"/>
          </w:tcPr>
          <w:p w14:paraId="15587BE3" w14:textId="77777777" w:rsidR="002E728B" w:rsidRPr="00A70E27" w:rsidRDefault="002E728B" w:rsidP="00E55DD0">
            <w:pPr>
              <w:pStyle w:val="TableSideHeading"/>
              <w:keepLines w:val="0"/>
            </w:pPr>
            <w:r w:rsidRPr="00A70E27">
              <w:rPr>
                <w:rtl/>
              </w:rPr>
              <w:t>הוספת סעיף 8א</w:t>
            </w:r>
            <w:r>
              <w:t xml:space="preserve"> </w:t>
            </w:r>
          </w:p>
        </w:tc>
        <w:tc>
          <w:tcPr>
            <w:tcW w:w="624" w:type="dxa"/>
          </w:tcPr>
          <w:p w14:paraId="7E9571CD" w14:textId="77777777" w:rsidR="002E728B" w:rsidRPr="00A70E27" w:rsidRDefault="002E728B" w:rsidP="00E55DD0">
            <w:pPr>
              <w:pStyle w:val="TableText"/>
              <w:keepLines w:val="0"/>
            </w:pPr>
            <w:r>
              <w:rPr>
                <w:rtl/>
              </w:rPr>
              <w:t xml:space="preserve">1. </w:t>
            </w:r>
          </w:p>
        </w:tc>
        <w:tc>
          <w:tcPr>
            <w:tcW w:w="7143" w:type="dxa"/>
            <w:gridSpan w:val="6"/>
          </w:tcPr>
          <w:p w14:paraId="463BCA78" w14:textId="77777777" w:rsidR="002E728B" w:rsidRPr="00A70E27" w:rsidRDefault="002E728B" w:rsidP="00FD5C7E">
            <w:pPr>
              <w:pStyle w:val="TableBlock"/>
            </w:pPr>
            <w:r w:rsidRPr="00A70E27">
              <w:rPr>
                <w:rtl/>
              </w:rPr>
              <w:t>בחוק הפיקוח על יצוא ביטחוני, התשס"ז</w:t>
            </w:r>
            <w:r w:rsidRPr="00792125">
              <w:rPr>
                <w:rtl/>
              </w:rPr>
              <w:t>–</w:t>
            </w:r>
            <w:r w:rsidRPr="00A70E27">
              <w:rPr>
                <w:rtl/>
              </w:rPr>
              <w:t>2007</w:t>
            </w:r>
            <w:r w:rsidRPr="00A70E27">
              <w:rPr>
                <w:vertAlign w:val="superscript"/>
                <w:rtl/>
              </w:rPr>
              <w:footnoteReference w:id="2"/>
            </w:r>
            <w:r w:rsidRPr="00A70E27">
              <w:rPr>
                <w:rtl/>
              </w:rPr>
              <w:t xml:space="preserve">, אחרי סעיף 8 יבוא: </w:t>
            </w:r>
          </w:p>
        </w:tc>
      </w:tr>
      <w:tr w:rsidR="002E728B" w:rsidRPr="00A70E27" w14:paraId="595AA2B3" w14:textId="77777777" w:rsidTr="00FD5C7E">
        <w:trPr>
          <w:cantSplit/>
        </w:trPr>
        <w:tc>
          <w:tcPr>
            <w:tcW w:w="1871" w:type="dxa"/>
          </w:tcPr>
          <w:p w14:paraId="0A63D395" w14:textId="77777777" w:rsidR="002E728B" w:rsidRPr="00A70E27" w:rsidRDefault="002E728B" w:rsidP="00E55DD0">
            <w:pPr>
              <w:pStyle w:val="TableSideHeading"/>
              <w:keepLines w:val="0"/>
            </w:pPr>
          </w:p>
        </w:tc>
        <w:tc>
          <w:tcPr>
            <w:tcW w:w="624" w:type="dxa"/>
          </w:tcPr>
          <w:p w14:paraId="32B8B6D9" w14:textId="77777777" w:rsidR="002E728B" w:rsidRPr="00F4448C" w:rsidRDefault="002E728B" w:rsidP="00E55DD0">
            <w:pPr>
              <w:pStyle w:val="TableText"/>
              <w:keepLines w:val="0"/>
            </w:pPr>
          </w:p>
        </w:tc>
        <w:tc>
          <w:tcPr>
            <w:tcW w:w="1872" w:type="dxa"/>
            <w:gridSpan w:val="3"/>
          </w:tcPr>
          <w:p w14:paraId="734B73C0" w14:textId="77777777" w:rsidR="002E728B" w:rsidRPr="00A70E27" w:rsidRDefault="002E728B" w:rsidP="00E55DD0">
            <w:pPr>
              <w:pStyle w:val="TableInnerSideHeading"/>
            </w:pPr>
            <w:r w:rsidRPr="00A70E27">
              <w:rPr>
                <w:rtl/>
              </w:rPr>
              <w:t>"סירוב לתת רישיון בנסיבות של הפרות זכויות אדם</w:t>
            </w:r>
          </w:p>
        </w:tc>
        <w:tc>
          <w:tcPr>
            <w:tcW w:w="624" w:type="dxa"/>
          </w:tcPr>
          <w:p w14:paraId="30A4938C" w14:textId="77777777" w:rsidR="002E728B" w:rsidRPr="00A70E27" w:rsidRDefault="002E728B" w:rsidP="00E55DD0">
            <w:pPr>
              <w:pStyle w:val="TableText"/>
            </w:pPr>
            <w:r w:rsidRPr="00A70E27">
              <w:rPr>
                <w:rtl/>
              </w:rPr>
              <w:t>8א.</w:t>
            </w:r>
          </w:p>
        </w:tc>
        <w:tc>
          <w:tcPr>
            <w:tcW w:w="4647" w:type="dxa"/>
            <w:gridSpan w:val="2"/>
          </w:tcPr>
          <w:p w14:paraId="34BD3302" w14:textId="77777777" w:rsidR="002E728B" w:rsidRPr="00A70E27" w:rsidRDefault="002E728B" w:rsidP="00FD5C7E">
            <w:pPr>
              <w:pStyle w:val="TableBlock"/>
            </w:pPr>
            <w:r w:rsidRPr="00A70E27">
              <w:rPr>
                <w:rtl/>
              </w:rPr>
              <w:t>(א)</w:t>
            </w:r>
            <w:r w:rsidRPr="00A70E27">
              <w:rPr>
                <w:rtl/>
              </w:rPr>
              <w:tab/>
              <w:t>בסעיף זה –</w:t>
            </w:r>
          </w:p>
        </w:tc>
      </w:tr>
      <w:tr w:rsidR="002E728B" w:rsidRPr="00A70E27" w14:paraId="3C4F1BEE" w14:textId="77777777" w:rsidTr="00FD5C7E">
        <w:trPr>
          <w:cantSplit/>
        </w:trPr>
        <w:tc>
          <w:tcPr>
            <w:tcW w:w="1871" w:type="dxa"/>
          </w:tcPr>
          <w:p w14:paraId="0520981B" w14:textId="77777777" w:rsidR="002E728B" w:rsidRPr="00A70E27" w:rsidRDefault="002E728B" w:rsidP="00E55DD0">
            <w:pPr>
              <w:pStyle w:val="TableSideHeading"/>
            </w:pPr>
            <w:r w:rsidRPr="00A70E27">
              <w:rPr>
                <w:rtl/>
              </w:rPr>
              <w:tab/>
            </w:r>
          </w:p>
        </w:tc>
        <w:tc>
          <w:tcPr>
            <w:tcW w:w="624" w:type="dxa"/>
          </w:tcPr>
          <w:p w14:paraId="4E77E693" w14:textId="77777777" w:rsidR="002E728B" w:rsidRPr="00A70E27" w:rsidRDefault="002E728B" w:rsidP="00E55DD0">
            <w:pPr>
              <w:pStyle w:val="TableText"/>
            </w:pPr>
          </w:p>
        </w:tc>
        <w:tc>
          <w:tcPr>
            <w:tcW w:w="624" w:type="dxa"/>
          </w:tcPr>
          <w:p w14:paraId="68D57A07" w14:textId="77777777" w:rsidR="002E728B" w:rsidRPr="00A70E27" w:rsidRDefault="002E728B" w:rsidP="00E55DD0">
            <w:pPr>
              <w:pStyle w:val="TableText"/>
            </w:pPr>
          </w:p>
        </w:tc>
        <w:tc>
          <w:tcPr>
            <w:tcW w:w="624" w:type="dxa"/>
          </w:tcPr>
          <w:p w14:paraId="60B75C92" w14:textId="77777777" w:rsidR="002E728B" w:rsidRPr="00A70E27" w:rsidRDefault="002E728B" w:rsidP="00E55DD0">
            <w:pPr>
              <w:pStyle w:val="TableText"/>
            </w:pPr>
          </w:p>
        </w:tc>
        <w:tc>
          <w:tcPr>
            <w:tcW w:w="624" w:type="dxa"/>
          </w:tcPr>
          <w:p w14:paraId="75673ACE" w14:textId="77777777" w:rsidR="002E728B" w:rsidRPr="00A70E27" w:rsidRDefault="002E728B" w:rsidP="00E55DD0">
            <w:pPr>
              <w:pStyle w:val="TableText"/>
            </w:pPr>
          </w:p>
        </w:tc>
        <w:tc>
          <w:tcPr>
            <w:tcW w:w="624" w:type="dxa"/>
          </w:tcPr>
          <w:p w14:paraId="1447F503" w14:textId="77777777" w:rsidR="002E728B" w:rsidRPr="00A70E27" w:rsidRDefault="002E728B" w:rsidP="00E55DD0">
            <w:pPr>
              <w:pStyle w:val="TableText"/>
            </w:pPr>
          </w:p>
        </w:tc>
        <w:tc>
          <w:tcPr>
            <w:tcW w:w="4647" w:type="dxa"/>
            <w:gridSpan w:val="2"/>
          </w:tcPr>
          <w:p w14:paraId="278F3774" w14:textId="77777777" w:rsidR="002E728B" w:rsidRPr="00A70E27" w:rsidRDefault="002E728B" w:rsidP="00FD5C7E">
            <w:pPr>
              <w:pStyle w:val="TableBlockOutdent"/>
            </w:pPr>
            <w:r w:rsidRPr="00A70E27">
              <w:rPr>
                <w:rtl/>
              </w:rPr>
              <w:t>"הפרות חמורות של זכויות אדם" – הפרות חמורות של זכויות אדם המוכרות במשפט הבין-לאומי, ובכלל זה עינויים, יחס או עונשים אכזריים, בלתי אנושיים או משפילים, מעצר ממושך ללא האשמה ומשפט, העלמת אנשים באמצעות חטיפה והחזקתם במתקני מעצר סודיים, שלילה ללא משפט של הזכות לחיים, חירות וביטחון של אדם, ואונס על רקע השתייכות לקבוצה פוליטית, אתנית ודתית;</w:t>
            </w:r>
          </w:p>
        </w:tc>
      </w:tr>
      <w:tr w:rsidR="002E728B" w:rsidRPr="00A70E27" w14:paraId="59831356" w14:textId="77777777" w:rsidTr="00FD5C7E">
        <w:trPr>
          <w:cantSplit/>
        </w:trPr>
        <w:tc>
          <w:tcPr>
            <w:tcW w:w="1871" w:type="dxa"/>
          </w:tcPr>
          <w:p w14:paraId="41EF5B8B" w14:textId="77777777" w:rsidR="002E728B" w:rsidRPr="00A70E27" w:rsidRDefault="002E728B" w:rsidP="00E55DD0">
            <w:pPr>
              <w:pStyle w:val="TableSideHeading"/>
              <w:rPr>
                <w:rtl/>
              </w:rPr>
            </w:pPr>
          </w:p>
        </w:tc>
        <w:tc>
          <w:tcPr>
            <w:tcW w:w="624" w:type="dxa"/>
          </w:tcPr>
          <w:p w14:paraId="1697B46C" w14:textId="77777777" w:rsidR="002E728B" w:rsidRPr="00A70E27" w:rsidRDefault="002E728B" w:rsidP="00E55DD0">
            <w:pPr>
              <w:pStyle w:val="TableText"/>
            </w:pPr>
          </w:p>
        </w:tc>
        <w:tc>
          <w:tcPr>
            <w:tcW w:w="624" w:type="dxa"/>
          </w:tcPr>
          <w:p w14:paraId="54F14D4E" w14:textId="77777777" w:rsidR="002E728B" w:rsidRPr="00A70E27" w:rsidRDefault="002E728B" w:rsidP="00E55DD0">
            <w:pPr>
              <w:pStyle w:val="TableText"/>
            </w:pPr>
          </w:p>
        </w:tc>
        <w:tc>
          <w:tcPr>
            <w:tcW w:w="624" w:type="dxa"/>
          </w:tcPr>
          <w:p w14:paraId="482F7A68" w14:textId="77777777" w:rsidR="002E728B" w:rsidRPr="00A70E27" w:rsidRDefault="002E728B" w:rsidP="00E55DD0">
            <w:pPr>
              <w:pStyle w:val="TableText"/>
            </w:pPr>
          </w:p>
        </w:tc>
        <w:tc>
          <w:tcPr>
            <w:tcW w:w="624" w:type="dxa"/>
          </w:tcPr>
          <w:p w14:paraId="6077D626" w14:textId="77777777" w:rsidR="002E728B" w:rsidRPr="00A70E27" w:rsidRDefault="002E728B" w:rsidP="00E55DD0">
            <w:pPr>
              <w:pStyle w:val="TableText"/>
            </w:pPr>
          </w:p>
        </w:tc>
        <w:tc>
          <w:tcPr>
            <w:tcW w:w="624" w:type="dxa"/>
          </w:tcPr>
          <w:p w14:paraId="705F5EFF" w14:textId="77777777" w:rsidR="002E728B" w:rsidRPr="00A70E27" w:rsidRDefault="002E728B" w:rsidP="00E55DD0">
            <w:pPr>
              <w:pStyle w:val="TableText"/>
            </w:pPr>
          </w:p>
        </w:tc>
        <w:tc>
          <w:tcPr>
            <w:tcW w:w="4647" w:type="dxa"/>
            <w:gridSpan w:val="2"/>
          </w:tcPr>
          <w:p w14:paraId="15CC4BC2" w14:textId="77777777" w:rsidR="002E728B" w:rsidRPr="00A70E27" w:rsidRDefault="002E728B" w:rsidP="00FD5C7E">
            <w:pPr>
              <w:pStyle w:val="TableBlockOutdent"/>
              <w:rPr>
                <w:rtl/>
              </w:rPr>
            </w:pPr>
            <w:r w:rsidRPr="00A70E27">
              <w:rPr>
                <w:rtl/>
              </w:rPr>
              <w:t xml:space="preserve">"כוחות ביטחון" – לרבות כוחות </w:t>
            </w:r>
            <w:r>
              <w:rPr>
                <w:rtl/>
              </w:rPr>
              <w:t>ביטחון</w:t>
            </w:r>
            <w:r w:rsidRPr="00A70E27">
              <w:rPr>
                <w:rtl/>
              </w:rPr>
              <w:t xml:space="preserve"> שאינם של מדינה.</w:t>
            </w:r>
          </w:p>
        </w:tc>
      </w:tr>
      <w:tr w:rsidR="002E728B" w:rsidRPr="00A70E27" w14:paraId="44A3494F" w14:textId="77777777" w:rsidTr="00FD5C7E">
        <w:trPr>
          <w:cantSplit/>
        </w:trPr>
        <w:tc>
          <w:tcPr>
            <w:tcW w:w="1871" w:type="dxa"/>
          </w:tcPr>
          <w:p w14:paraId="1489BD7C" w14:textId="77777777" w:rsidR="002E728B" w:rsidRPr="00A70E27" w:rsidRDefault="002E728B" w:rsidP="00E55DD0">
            <w:pPr>
              <w:pStyle w:val="TableSideHeading"/>
            </w:pPr>
          </w:p>
        </w:tc>
        <w:tc>
          <w:tcPr>
            <w:tcW w:w="624" w:type="dxa"/>
          </w:tcPr>
          <w:p w14:paraId="0336FF77" w14:textId="77777777" w:rsidR="002E728B" w:rsidRPr="00A70E27" w:rsidRDefault="002E728B" w:rsidP="00E55DD0">
            <w:pPr>
              <w:pStyle w:val="TableText"/>
            </w:pPr>
          </w:p>
        </w:tc>
        <w:tc>
          <w:tcPr>
            <w:tcW w:w="624" w:type="dxa"/>
          </w:tcPr>
          <w:p w14:paraId="6FF31B4B" w14:textId="77777777" w:rsidR="002E728B" w:rsidRPr="00A70E27" w:rsidRDefault="002E728B" w:rsidP="00E55DD0">
            <w:pPr>
              <w:pStyle w:val="TableText"/>
            </w:pPr>
          </w:p>
        </w:tc>
        <w:tc>
          <w:tcPr>
            <w:tcW w:w="624" w:type="dxa"/>
          </w:tcPr>
          <w:p w14:paraId="5C6B0CC0" w14:textId="77777777" w:rsidR="002E728B" w:rsidRPr="00A70E27" w:rsidRDefault="002E728B" w:rsidP="00E55DD0">
            <w:pPr>
              <w:pStyle w:val="TableText"/>
            </w:pPr>
          </w:p>
        </w:tc>
        <w:tc>
          <w:tcPr>
            <w:tcW w:w="624" w:type="dxa"/>
          </w:tcPr>
          <w:p w14:paraId="11D4FFF0" w14:textId="77777777" w:rsidR="002E728B" w:rsidRPr="00A70E27" w:rsidRDefault="002E728B" w:rsidP="00E55DD0">
            <w:pPr>
              <w:pStyle w:val="TableText"/>
            </w:pPr>
          </w:p>
        </w:tc>
        <w:tc>
          <w:tcPr>
            <w:tcW w:w="624" w:type="dxa"/>
          </w:tcPr>
          <w:p w14:paraId="336B5A07" w14:textId="77777777" w:rsidR="002E728B" w:rsidRPr="00A70E27" w:rsidRDefault="002E728B" w:rsidP="00E55DD0">
            <w:pPr>
              <w:pStyle w:val="TableText"/>
            </w:pPr>
          </w:p>
        </w:tc>
        <w:tc>
          <w:tcPr>
            <w:tcW w:w="4647" w:type="dxa"/>
            <w:gridSpan w:val="2"/>
          </w:tcPr>
          <w:p w14:paraId="38698F17" w14:textId="77777777" w:rsidR="002E728B" w:rsidRPr="00A57560" w:rsidRDefault="002E728B" w:rsidP="00FD5C7E">
            <w:pPr>
              <w:pStyle w:val="TableBlock"/>
            </w:pPr>
            <w:r w:rsidRPr="00A57560">
              <w:rPr>
                <w:rtl/>
              </w:rPr>
              <w:t>(ב)</w:t>
            </w:r>
            <w:r w:rsidRPr="00A57560">
              <w:rPr>
                <w:rtl/>
              </w:rPr>
              <w:tab/>
              <w:t>הרשות המוסמכת לא תיתן רישיון יצוא ביטחוני אם משרד החוץ העביר לה מידע לפיו משתמשי הביניים או המשתמש הסופי ברישיון הם כוחות ביטחון שביצעו הפרות חמורות של זכויות אדם.</w:t>
            </w:r>
          </w:p>
        </w:tc>
      </w:tr>
      <w:tr w:rsidR="002E728B" w:rsidRPr="00A70E27" w14:paraId="3566E194" w14:textId="77777777" w:rsidTr="00FD5C7E">
        <w:trPr>
          <w:cantSplit/>
        </w:trPr>
        <w:tc>
          <w:tcPr>
            <w:tcW w:w="1871" w:type="dxa"/>
          </w:tcPr>
          <w:p w14:paraId="47404160" w14:textId="77777777" w:rsidR="002E728B" w:rsidRPr="00A70E27" w:rsidRDefault="002E728B" w:rsidP="00E55DD0">
            <w:pPr>
              <w:pStyle w:val="TableSideHeading"/>
            </w:pPr>
          </w:p>
        </w:tc>
        <w:tc>
          <w:tcPr>
            <w:tcW w:w="624" w:type="dxa"/>
          </w:tcPr>
          <w:p w14:paraId="0718EC60" w14:textId="77777777" w:rsidR="002E728B" w:rsidRPr="00A70E27" w:rsidRDefault="002E728B" w:rsidP="00E55DD0">
            <w:pPr>
              <w:pStyle w:val="TableText"/>
            </w:pPr>
          </w:p>
        </w:tc>
        <w:tc>
          <w:tcPr>
            <w:tcW w:w="624" w:type="dxa"/>
          </w:tcPr>
          <w:p w14:paraId="6230D2F3" w14:textId="77777777" w:rsidR="002E728B" w:rsidRPr="00A70E27" w:rsidRDefault="002E728B" w:rsidP="00E55DD0">
            <w:pPr>
              <w:pStyle w:val="TableText"/>
            </w:pPr>
          </w:p>
        </w:tc>
        <w:tc>
          <w:tcPr>
            <w:tcW w:w="624" w:type="dxa"/>
          </w:tcPr>
          <w:p w14:paraId="06199756" w14:textId="77777777" w:rsidR="002E728B" w:rsidRPr="00A70E27" w:rsidRDefault="002E728B" w:rsidP="00E55DD0">
            <w:pPr>
              <w:pStyle w:val="TableText"/>
            </w:pPr>
          </w:p>
        </w:tc>
        <w:tc>
          <w:tcPr>
            <w:tcW w:w="624" w:type="dxa"/>
          </w:tcPr>
          <w:p w14:paraId="1ECF76AA" w14:textId="77777777" w:rsidR="002E728B" w:rsidRPr="00A70E27" w:rsidRDefault="002E728B" w:rsidP="00E55DD0">
            <w:pPr>
              <w:pStyle w:val="TableText"/>
            </w:pPr>
          </w:p>
        </w:tc>
        <w:tc>
          <w:tcPr>
            <w:tcW w:w="624" w:type="dxa"/>
          </w:tcPr>
          <w:p w14:paraId="180828FC" w14:textId="77777777" w:rsidR="002E728B" w:rsidRPr="00A70E27" w:rsidRDefault="002E728B" w:rsidP="00E55DD0">
            <w:pPr>
              <w:pStyle w:val="TableText"/>
            </w:pPr>
          </w:p>
        </w:tc>
        <w:tc>
          <w:tcPr>
            <w:tcW w:w="4647" w:type="dxa"/>
            <w:gridSpan w:val="2"/>
          </w:tcPr>
          <w:p w14:paraId="0C18FB21" w14:textId="77777777" w:rsidR="002E728B" w:rsidRPr="00A57560" w:rsidRDefault="002E728B" w:rsidP="00FD5C7E">
            <w:pPr>
              <w:pStyle w:val="TableBlock"/>
            </w:pPr>
            <w:r w:rsidRPr="00A57560">
              <w:rPr>
                <w:rtl/>
              </w:rPr>
              <w:t>(ג)</w:t>
            </w:r>
            <w:r w:rsidRPr="00A57560">
              <w:rPr>
                <w:rtl/>
              </w:rPr>
              <w:tab/>
              <w:t xml:space="preserve">העביר משרד החוץ מידע כאמור לגבי רישיון שניתן לפי חוק זה, הרשות המוסכמת תבטלו  בהתאם לאמור בהוראות סעיף 9, בשינויים </w:t>
            </w:r>
            <w:r>
              <w:rPr>
                <w:rtl/>
              </w:rPr>
              <w:t>המחוי</w:t>
            </w:r>
            <w:r w:rsidRPr="00A57560">
              <w:rPr>
                <w:rtl/>
              </w:rPr>
              <w:t>בים.</w:t>
            </w:r>
          </w:p>
        </w:tc>
      </w:tr>
      <w:tr w:rsidR="002E728B" w:rsidRPr="00A70E27" w14:paraId="34DAE1E3" w14:textId="77777777" w:rsidTr="00FD5C7E">
        <w:trPr>
          <w:cantSplit/>
        </w:trPr>
        <w:tc>
          <w:tcPr>
            <w:tcW w:w="1871" w:type="dxa"/>
          </w:tcPr>
          <w:p w14:paraId="46E8B445" w14:textId="77777777" w:rsidR="002E728B" w:rsidRPr="00A70E27" w:rsidRDefault="002E728B" w:rsidP="00E55DD0">
            <w:pPr>
              <w:pStyle w:val="TableSideHeading"/>
            </w:pPr>
          </w:p>
        </w:tc>
        <w:tc>
          <w:tcPr>
            <w:tcW w:w="624" w:type="dxa"/>
          </w:tcPr>
          <w:p w14:paraId="68589C2C" w14:textId="77777777" w:rsidR="002E728B" w:rsidRPr="00A70E27" w:rsidRDefault="002E728B" w:rsidP="00E55DD0">
            <w:pPr>
              <w:pStyle w:val="TableText"/>
            </w:pPr>
          </w:p>
        </w:tc>
        <w:tc>
          <w:tcPr>
            <w:tcW w:w="624" w:type="dxa"/>
          </w:tcPr>
          <w:p w14:paraId="2A6C2D69" w14:textId="77777777" w:rsidR="002E728B" w:rsidRPr="00A70E27" w:rsidRDefault="002E728B" w:rsidP="00E55DD0">
            <w:pPr>
              <w:pStyle w:val="TableText"/>
            </w:pPr>
          </w:p>
        </w:tc>
        <w:tc>
          <w:tcPr>
            <w:tcW w:w="624" w:type="dxa"/>
          </w:tcPr>
          <w:p w14:paraId="1316DE6D" w14:textId="77777777" w:rsidR="002E728B" w:rsidRPr="00A70E27" w:rsidRDefault="002E728B" w:rsidP="00E55DD0">
            <w:pPr>
              <w:pStyle w:val="TableText"/>
            </w:pPr>
          </w:p>
        </w:tc>
        <w:tc>
          <w:tcPr>
            <w:tcW w:w="624" w:type="dxa"/>
          </w:tcPr>
          <w:p w14:paraId="6F5FC7CC" w14:textId="77777777" w:rsidR="002E728B" w:rsidRPr="00A70E27" w:rsidRDefault="002E728B" w:rsidP="00E55DD0">
            <w:pPr>
              <w:pStyle w:val="TableText"/>
            </w:pPr>
          </w:p>
        </w:tc>
        <w:tc>
          <w:tcPr>
            <w:tcW w:w="624" w:type="dxa"/>
          </w:tcPr>
          <w:p w14:paraId="4880D2E5" w14:textId="77777777" w:rsidR="002E728B" w:rsidRPr="00A70E27" w:rsidRDefault="002E728B" w:rsidP="00E55DD0">
            <w:pPr>
              <w:pStyle w:val="TableText"/>
            </w:pPr>
          </w:p>
        </w:tc>
        <w:tc>
          <w:tcPr>
            <w:tcW w:w="4647" w:type="dxa"/>
            <w:gridSpan w:val="2"/>
          </w:tcPr>
          <w:p w14:paraId="112789B7" w14:textId="77777777" w:rsidR="002E728B" w:rsidRPr="00A57560" w:rsidRDefault="002E728B" w:rsidP="00FD5C7E">
            <w:pPr>
              <w:pStyle w:val="TableBlock"/>
            </w:pPr>
            <w:r w:rsidRPr="00A57560">
              <w:rPr>
                <w:rtl/>
              </w:rPr>
              <w:t>(ד)</w:t>
            </w:r>
            <w:r w:rsidRPr="00A57560">
              <w:rPr>
                <w:rtl/>
              </w:rPr>
              <w:tab/>
              <w:t>על אף האמור בסעיף קטן (ב), רשאית הרשות המוסמכת ליתן רישיון יצוא ביטחוני</w:t>
            </w:r>
            <w:r w:rsidRPr="00A57560" w:rsidDel="00D013FD">
              <w:rPr>
                <w:rtl/>
              </w:rPr>
              <w:t xml:space="preserve"> </w:t>
            </w:r>
            <w:r w:rsidRPr="00A57560">
              <w:rPr>
                <w:rtl/>
              </w:rPr>
              <w:t xml:space="preserve">אם משרד החוץ קבע כי השלטונות במדינות </w:t>
            </w:r>
            <w:r>
              <w:rPr>
                <w:rtl/>
              </w:rPr>
              <w:t>ש</w:t>
            </w:r>
            <w:r w:rsidRPr="00A57560">
              <w:rPr>
                <w:rtl/>
              </w:rPr>
              <w:t>בהן פועלים כוחות הביטחון נוקטים בצעדים אפקטיביים להבאה לדין של האחראים להפרות חמורות של זכויות אדם.</w:t>
            </w:r>
          </w:p>
        </w:tc>
      </w:tr>
      <w:tr w:rsidR="002E728B" w:rsidRPr="00A70E27" w14:paraId="3A2FACCC" w14:textId="77777777" w:rsidTr="00FD5C7E">
        <w:trPr>
          <w:cantSplit/>
        </w:trPr>
        <w:tc>
          <w:tcPr>
            <w:tcW w:w="1871" w:type="dxa"/>
          </w:tcPr>
          <w:p w14:paraId="4C1881FA" w14:textId="77777777" w:rsidR="002E728B" w:rsidRPr="00831558" w:rsidRDefault="002E728B" w:rsidP="00E55DD0">
            <w:pPr>
              <w:pStyle w:val="TableSideHeading"/>
              <w:rPr>
                <w:szCs w:val="20"/>
              </w:rPr>
            </w:pPr>
            <w:r w:rsidRPr="00A70E27">
              <w:rPr>
                <w:szCs w:val="20"/>
                <w:rtl/>
              </w:rPr>
              <w:t xml:space="preserve"> </w:t>
            </w:r>
          </w:p>
        </w:tc>
        <w:tc>
          <w:tcPr>
            <w:tcW w:w="624" w:type="dxa"/>
          </w:tcPr>
          <w:p w14:paraId="633F3CB8" w14:textId="77777777" w:rsidR="002E728B" w:rsidRPr="00A70E27" w:rsidRDefault="002E728B" w:rsidP="00E55DD0">
            <w:pPr>
              <w:pStyle w:val="TableText"/>
            </w:pPr>
          </w:p>
        </w:tc>
        <w:tc>
          <w:tcPr>
            <w:tcW w:w="624" w:type="dxa"/>
          </w:tcPr>
          <w:p w14:paraId="0C094413" w14:textId="77777777" w:rsidR="002E728B" w:rsidRPr="00A70E27" w:rsidRDefault="002E728B" w:rsidP="00E55DD0">
            <w:pPr>
              <w:pStyle w:val="TableText"/>
            </w:pPr>
          </w:p>
        </w:tc>
        <w:tc>
          <w:tcPr>
            <w:tcW w:w="624" w:type="dxa"/>
          </w:tcPr>
          <w:p w14:paraId="5A854F96" w14:textId="77777777" w:rsidR="002E728B" w:rsidRPr="00A70E27" w:rsidRDefault="002E728B" w:rsidP="00E55DD0">
            <w:pPr>
              <w:pStyle w:val="TableText"/>
            </w:pPr>
          </w:p>
        </w:tc>
        <w:tc>
          <w:tcPr>
            <w:tcW w:w="624" w:type="dxa"/>
          </w:tcPr>
          <w:p w14:paraId="474B20A8" w14:textId="77777777" w:rsidR="002E728B" w:rsidRPr="00A70E27" w:rsidRDefault="002E728B" w:rsidP="00E55DD0">
            <w:pPr>
              <w:pStyle w:val="TableText"/>
            </w:pPr>
          </w:p>
        </w:tc>
        <w:tc>
          <w:tcPr>
            <w:tcW w:w="624" w:type="dxa"/>
          </w:tcPr>
          <w:p w14:paraId="2830ADD7" w14:textId="77777777" w:rsidR="002E728B" w:rsidRPr="00A70E27" w:rsidRDefault="002E728B" w:rsidP="00E55DD0">
            <w:pPr>
              <w:pStyle w:val="TableText"/>
            </w:pPr>
          </w:p>
        </w:tc>
        <w:tc>
          <w:tcPr>
            <w:tcW w:w="4647" w:type="dxa"/>
            <w:gridSpan w:val="2"/>
          </w:tcPr>
          <w:p w14:paraId="6E89DEA7" w14:textId="77777777" w:rsidR="002E728B" w:rsidRPr="00A57560" w:rsidRDefault="002E728B" w:rsidP="00FD5C7E">
            <w:pPr>
              <w:pStyle w:val="TableBlock"/>
              <w:rPr>
                <w:rtl/>
              </w:rPr>
            </w:pPr>
            <w:r w:rsidRPr="00A57560">
              <w:rPr>
                <w:rtl/>
              </w:rPr>
              <w:t>(ה)</w:t>
            </w:r>
            <w:r w:rsidRPr="00A57560">
              <w:rPr>
                <w:rtl/>
              </w:rPr>
              <w:tab/>
              <w:t>לא אישרה הרשות המוסכמת רישיון לפי סעיף קטן (ב), או בוטל רישיון לפי סעיף זה, יעדכן משרד החוץ את השלטונות במדינות לגביהן נאסר יצוא ביטחוני כאמור.</w:t>
            </w:r>
          </w:p>
        </w:tc>
      </w:tr>
      <w:tr w:rsidR="002E728B" w:rsidRPr="00A70E27" w14:paraId="420CBEDF" w14:textId="77777777" w:rsidTr="00FD5C7E">
        <w:trPr>
          <w:cantSplit/>
        </w:trPr>
        <w:tc>
          <w:tcPr>
            <w:tcW w:w="1871" w:type="dxa"/>
          </w:tcPr>
          <w:p w14:paraId="5204D8D0" w14:textId="77777777" w:rsidR="002E728B" w:rsidRPr="00A70E27" w:rsidRDefault="002E728B" w:rsidP="00E55DD0">
            <w:pPr>
              <w:pStyle w:val="TableSideHeading"/>
              <w:rPr>
                <w:szCs w:val="20"/>
                <w:rtl/>
              </w:rPr>
            </w:pPr>
          </w:p>
        </w:tc>
        <w:tc>
          <w:tcPr>
            <w:tcW w:w="624" w:type="dxa"/>
          </w:tcPr>
          <w:p w14:paraId="1EFE8113" w14:textId="77777777" w:rsidR="002E728B" w:rsidRPr="00A70E27" w:rsidRDefault="002E728B" w:rsidP="00E55DD0">
            <w:pPr>
              <w:pStyle w:val="TableText"/>
            </w:pPr>
          </w:p>
        </w:tc>
        <w:tc>
          <w:tcPr>
            <w:tcW w:w="624" w:type="dxa"/>
          </w:tcPr>
          <w:p w14:paraId="24AA83C1" w14:textId="77777777" w:rsidR="002E728B" w:rsidRPr="00A70E27" w:rsidRDefault="002E728B" w:rsidP="00E55DD0">
            <w:pPr>
              <w:pStyle w:val="TableText"/>
            </w:pPr>
          </w:p>
        </w:tc>
        <w:tc>
          <w:tcPr>
            <w:tcW w:w="624" w:type="dxa"/>
          </w:tcPr>
          <w:p w14:paraId="3C8D5263" w14:textId="77777777" w:rsidR="002E728B" w:rsidRPr="00A70E27" w:rsidRDefault="002E728B" w:rsidP="00E55DD0">
            <w:pPr>
              <w:pStyle w:val="TableText"/>
            </w:pPr>
          </w:p>
        </w:tc>
        <w:tc>
          <w:tcPr>
            <w:tcW w:w="624" w:type="dxa"/>
          </w:tcPr>
          <w:p w14:paraId="149E808D" w14:textId="77777777" w:rsidR="002E728B" w:rsidRPr="00A70E27" w:rsidRDefault="002E728B" w:rsidP="00E55DD0">
            <w:pPr>
              <w:pStyle w:val="TableText"/>
            </w:pPr>
          </w:p>
        </w:tc>
        <w:tc>
          <w:tcPr>
            <w:tcW w:w="624" w:type="dxa"/>
          </w:tcPr>
          <w:p w14:paraId="1FB659DF" w14:textId="77777777" w:rsidR="002E728B" w:rsidRPr="00A70E27" w:rsidRDefault="002E728B" w:rsidP="00E55DD0">
            <w:pPr>
              <w:pStyle w:val="TableText"/>
            </w:pPr>
          </w:p>
        </w:tc>
        <w:tc>
          <w:tcPr>
            <w:tcW w:w="4647" w:type="dxa"/>
            <w:gridSpan w:val="2"/>
          </w:tcPr>
          <w:p w14:paraId="31A27FC7" w14:textId="77777777" w:rsidR="002E728B" w:rsidRPr="00A57560" w:rsidRDefault="002E728B" w:rsidP="00FD5C7E">
            <w:pPr>
              <w:pStyle w:val="TableBlock"/>
              <w:rPr>
                <w:rtl/>
              </w:rPr>
            </w:pPr>
            <w:r w:rsidRPr="00A57560">
              <w:rPr>
                <w:rtl/>
              </w:rPr>
              <w:t>(ו)</w:t>
            </w:r>
            <w:r w:rsidRPr="00A57560">
              <w:rPr>
                <w:rtl/>
              </w:rPr>
              <w:tab/>
              <w:t>לצורך גיבוש מידע כאמור בסעיף קטן (ב), תדרוש הרשות המוסמכת ממבקש הרישיון כל ידיעה, מסמך או ציוד ביטחוני שיש בהם כדי להביא לזיהוי כוחות הביטחון וכן רשאית היא לדרוש כאמור לעניין השימוש הסופי שייעשה בציוד הביטחוני, בידע הביטחוני או בשירות הביטחוני שלגביהם מתבקש הרישיון.</w:t>
            </w:r>
          </w:p>
        </w:tc>
      </w:tr>
      <w:tr w:rsidR="002E728B" w:rsidRPr="00A70E27" w14:paraId="40F0EEAE" w14:textId="77777777" w:rsidTr="00FD5C7E">
        <w:trPr>
          <w:cantSplit/>
        </w:trPr>
        <w:tc>
          <w:tcPr>
            <w:tcW w:w="1871" w:type="dxa"/>
          </w:tcPr>
          <w:p w14:paraId="7E035915" w14:textId="77777777" w:rsidR="002E728B" w:rsidRPr="00A70E27" w:rsidRDefault="002E728B" w:rsidP="00E55DD0">
            <w:pPr>
              <w:pStyle w:val="TableSideHeading"/>
            </w:pPr>
          </w:p>
        </w:tc>
        <w:tc>
          <w:tcPr>
            <w:tcW w:w="624" w:type="dxa"/>
          </w:tcPr>
          <w:p w14:paraId="617D864B" w14:textId="77777777" w:rsidR="002E728B" w:rsidRPr="00A70E27" w:rsidRDefault="002E728B" w:rsidP="00E55DD0">
            <w:pPr>
              <w:pStyle w:val="TableText"/>
            </w:pPr>
          </w:p>
        </w:tc>
        <w:tc>
          <w:tcPr>
            <w:tcW w:w="624" w:type="dxa"/>
          </w:tcPr>
          <w:p w14:paraId="2795DB44" w14:textId="77777777" w:rsidR="002E728B" w:rsidRPr="00A70E27" w:rsidRDefault="002E728B" w:rsidP="00E55DD0">
            <w:pPr>
              <w:pStyle w:val="TableText"/>
            </w:pPr>
          </w:p>
        </w:tc>
        <w:tc>
          <w:tcPr>
            <w:tcW w:w="624" w:type="dxa"/>
          </w:tcPr>
          <w:p w14:paraId="3B098862" w14:textId="77777777" w:rsidR="002E728B" w:rsidRPr="00A70E27" w:rsidRDefault="002E728B" w:rsidP="00E55DD0">
            <w:pPr>
              <w:pStyle w:val="TableText"/>
            </w:pPr>
          </w:p>
        </w:tc>
        <w:tc>
          <w:tcPr>
            <w:tcW w:w="624" w:type="dxa"/>
          </w:tcPr>
          <w:p w14:paraId="77C1F8C8" w14:textId="77777777" w:rsidR="002E728B" w:rsidRPr="00A70E27" w:rsidRDefault="002E728B" w:rsidP="00E55DD0">
            <w:pPr>
              <w:pStyle w:val="TableText"/>
            </w:pPr>
          </w:p>
        </w:tc>
        <w:tc>
          <w:tcPr>
            <w:tcW w:w="624" w:type="dxa"/>
          </w:tcPr>
          <w:p w14:paraId="6772010C" w14:textId="77777777" w:rsidR="002E728B" w:rsidRPr="00A70E27" w:rsidRDefault="002E728B" w:rsidP="00E55DD0">
            <w:pPr>
              <w:pStyle w:val="TableText"/>
            </w:pPr>
          </w:p>
        </w:tc>
        <w:tc>
          <w:tcPr>
            <w:tcW w:w="4647" w:type="dxa"/>
            <w:gridSpan w:val="2"/>
          </w:tcPr>
          <w:p w14:paraId="1B9F14E2" w14:textId="77777777" w:rsidR="002E728B" w:rsidRPr="00A57560" w:rsidRDefault="002E728B" w:rsidP="00FD5C7E">
            <w:pPr>
              <w:pStyle w:val="TableBlock"/>
              <w:rPr>
                <w:rtl/>
              </w:rPr>
            </w:pPr>
            <w:r w:rsidRPr="00A57560">
              <w:rPr>
                <w:rtl/>
              </w:rPr>
              <w:t>(</w:t>
            </w:r>
            <w:r>
              <w:rPr>
                <w:rtl/>
              </w:rPr>
              <w:t>ז</w:t>
            </w:r>
            <w:r w:rsidRPr="00A57560">
              <w:rPr>
                <w:rtl/>
              </w:rPr>
              <w:t>)</w:t>
            </w:r>
            <w:r w:rsidRPr="00A57560">
              <w:rPr>
                <w:rtl/>
              </w:rPr>
              <w:tab/>
              <w:t xml:space="preserve">לצורך גיבוש מידע כאמור בסעיף קטן (ב), משרד החוץ, באמצעות עובדיו – </w:t>
            </w:r>
          </w:p>
        </w:tc>
      </w:tr>
      <w:tr w:rsidR="002E728B" w:rsidRPr="00A70E27" w14:paraId="1F831135" w14:textId="77777777" w:rsidTr="00FD5C7E">
        <w:trPr>
          <w:cantSplit/>
        </w:trPr>
        <w:tc>
          <w:tcPr>
            <w:tcW w:w="1871" w:type="dxa"/>
          </w:tcPr>
          <w:p w14:paraId="7601551C" w14:textId="77777777" w:rsidR="002E728B" w:rsidRPr="00A70E27" w:rsidRDefault="002E728B" w:rsidP="00E55DD0">
            <w:pPr>
              <w:pStyle w:val="TableSideHeading"/>
            </w:pPr>
          </w:p>
        </w:tc>
        <w:tc>
          <w:tcPr>
            <w:tcW w:w="624" w:type="dxa"/>
          </w:tcPr>
          <w:p w14:paraId="2C2B1373" w14:textId="77777777" w:rsidR="002E728B" w:rsidRPr="00A70E27" w:rsidRDefault="002E728B" w:rsidP="00E55DD0">
            <w:pPr>
              <w:pStyle w:val="TableText"/>
            </w:pPr>
          </w:p>
        </w:tc>
        <w:tc>
          <w:tcPr>
            <w:tcW w:w="624" w:type="dxa"/>
          </w:tcPr>
          <w:p w14:paraId="0B95FB6C" w14:textId="77777777" w:rsidR="002E728B" w:rsidRPr="00A70E27" w:rsidRDefault="002E728B" w:rsidP="00E55DD0">
            <w:pPr>
              <w:pStyle w:val="TableText"/>
            </w:pPr>
          </w:p>
        </w:tc>
        <w:tc>
          <w:tcPr>
            <w:tcW w:w="624" w:type="dxa"/>
          </w:tcPr>
          <w:p w14:paraId="13DB0D24" w14:textId="77777777" w:rsidR="002E728B" w:rsidRPr="00A70E27" w:rsidRDefault="002E728B" w:rsidP="00E55DD0">
            <w:pPr>
              <w:pStyle w:val="TableText"/>
            </w:pPr>
          </w:p>
        </w:tc>
        <w:tc>
          <w:tcPr>
            <w:tcW w:w="624" w:type="dxa"/>
          </w:tcPr>
          <w:p w14:paraId="5593ECAD" w14:textId="77777777" w:rsidR="002E728B" w:rsidRPr="00A70E27" w:rsidRDefault="002E728B" w:rsidP="00E55DD0">
            <w:pPr>
              <w:pStyle w:val="TableText"/>
            </w:pPr>
          </w:p>
        </w:tc>
        <w:tc>
          <w:tcPr>
            <w:tcW w:w="624" w:type="dxa"/>
          </w:tcPr>
          <w:p w14:paraId="26EB9772" w14:textId="77777777" w:rsidR="002E728B" w:rsidRPr="00A70E27" w:rsidRDefault="002E728B" w:rsidP="00E55DD0">
            <w:pPr>
              <w:pStyle w:val="TableText"/>
            </w:pPr>
          </w:p>
        </w:tc>
        <w:tc>
          <w:tcPr>
            <w:tcW w:w="624" w:type="dxa"/>
          </w:tcPr>
          <w:p w14:paraId="371DA7C9" w14:textId="77777777" w:rsidR="002E728B" w:rsidRPr="00A70E27" w:rsidRDefault="002E728B" w:rsidP="00E55DD0">
            <w:pPr>
              <w:pStyle w:val="TableText"/>
            </w:pPr>
          </w:p>
        </w:tc>
        <w:tc>
          <w:tcPr>
            <w:tcW w:w="4023" w:type="dxa"/>
          </w:tcPr>
          <w:p w14:paraId="07BAACC7" w14:textId="77777777" w:rsidR="002E728B" w:rsidRPr="00A57560" w:rsidRDefault="002E728B" w:rsidP="00FD5C7E">
            <w:pPr>
              <w:pStyle w:val="TableBlock"/>
            </w:pPr>
            <w:r w:rsidRPr="00A57560">
              <w:rPr>
                <w:rtl/>
              </w:rPr>
              <w:t>(1)</w:t>
            </w:r>
            <w:r w:rsidRPr="00A57560">
              <w:rPr>
                <w:rtl/>
              </w:rPr>
              <w:tab/>
              <w:t xml:space="preserve">רשאי לעיין במרשם היצוא הביטחוני, להשיג מהרשות המוסכמת את רשימת המדינות או גורמי היעד </w:t>
            </w:r>
            <w:r>
              <w:rPr>
                <w:rtl/>
              </w:rPr>
              <w:t>ש</w:t>
            </w:r>
            <w:r w:rsidRPr="00A57560">
              <w:rPr>
                <w:rtl/>
              </w:rPr>
              <w:t>לגביהן ניתן רישיון כאמור וכן לעיין במסמכים אם ניתנו לפי סעיף 6(ב);</w:t>
            </w:r>
          </w:p>
        </w:tc>
      </w:tr>
      <w:tr w:rsidR="002E728B" w:rsidRPr="00A70E27" w14:paraId="4F274048" w14:textId="77777777" w:rsidTr="00FD5C7E">
        <w:trPr>
          <w:cantSplit/>
        </w:trPr>
        <w:tc>
          <w:tcPr>
            <w:tcW w:w="1871" w:type="dxa"/>
          </w:tcPr>
          <w:p w14:paraId="0237D99A" w14:textId="77777777" w:rsidR="002E728B" w:rsidRPr="00A70E27" w:rsidRDefault="002E728B" w:rsidP="00E55DD0">
            <w:pPr>
              <w:pStyle w:val="TableSideHeading"/>
              <w:rPr>
                <w:szCs w:val="20"/>
              </w:rPr>
            </w:pPr>
          </w:p>
        </w:tc>
        <w:tc>
          <w:tcPr>
            <w:tcW w:w="624" w:type="dxa"/>
          </w:tcPr>
          <w:p w14:paraId="33A39707" w14:textId="77777777" w:rsidR="002E728B" w:rsidRPr="00A70E27" w:rsidRDefault="002E728B" w:rsidP="00E55DD0">
            <w:pPr>
              <w:pStyle w:val="TableText"/>
            </w:pPr>
          </w:p>
        </w:tc>
        <w:tc>
          <w:tcPr>
            <w:tcW w:w="624" w:type="dxa"/>
          </w:tcPr>
          <w:p w14:paraId="25E5B639" w14:textId="77777777" w:rsidR="002E728B" w:rsidRPr="00A70E27" w:rsidRDefault="002E728B" w:rsidP="00E55DD0">
            <w:pPr>
              <w:pStyle w:val="TableText"/>
            </w:pPr>
          </w:p>
        </w:tc>
        <w:tc>
          <w:tcPr>
            <w:tcW w:w="624" w:type="dxa"/>
          </w:tcPr>
          <w:p w14:paraId="788C688B" w14:textId="77777777" w:rsidR="002E728B" w:rsidRPr="00A70E27" w:rsidRDefault="002E728B" w:rsidP="00E55DD0">
            <w:pPr>
              <w:pStyle w:val="TableText"/>
            </w:pPr>
          </w:p>
        </w:tc>
        <w:tc>
          <w:tcPr>
            <w:tcW w:w="624" w:type="dxa"/>
          </w:tcPr>
          <w:p w14:paraId="3D939368" w14:textId="77777777" w:rsidR="002E728B" w:rsidRPr="00A70E27" w:rsidRDefault="002E728B" w:rsidP="00E55DD0">
            <w:pPr>
              <w:pStyle w:val="TableText"/>
            </w:pPr>
          </w:p>
        </w:tc>
        <w:tc>
          <w:tcPr>
            <w:tcW w:w="624" w:type="dxa"/>
          </w:tcPr>
          <w:p w14:paraId="618AE0CF" w14:textId="77777777" w:rsidR="002E728B" w:rsidRPr="00A70E27" w:rsidRDefault="002E728B" w:rsidP="00E55DD0">
            <w:pPr>
              <w:pStyle w:val="TableText"/>
            </w:pPr>
          </w:p>
        </w:tc>
        <w:tc>
          <w:tcPr>
            <w:tcW w:w="624" w:type="dxa"/>
          </w:tcPr>
          <w:p w14:paraId="27DF51D9" w14:textId="77777777" w:rsidR="002E728B" w:rsidRPr="00A70E27" w:rsidRDefault="002E728B" w:rsidP="00E55DD0">
            <w:pPr>
              <w:pStyle w:val="TableText"/>
            </w:pPr>
          </w:p>
        </w:tc>
        <w:tc>
          <w:tcPr>
            <w:tcW w:w="4023" w:type="dxa"/>
          </w:tcPr>
          <w:p w14:paraId="3D53B3D8" w14:textId="77777777" w:rsidR="002E728B" w:rsidRPr="00A57560" w:rsidRDefault="002E728B" w:rsidP="00FD5C7E">
            <w:pPr>
              <w:pStyle w:val="TableBlock"/>
              <w:rPr>
                <w:rtl/>
              </w:rPr>
            </w:pPr>
            <w:r w:rsidRPr="00A57560">
              <w:rPr>
                <w:rtl/>
              </w:rPr>
              <w:t>(2)</w:t>
            </w:r>
            <w:r w:rsidRPr="00A57560">
              <w:rPr>
                <w:rtl/>
              </w:rPr>
              <w:tab/>
              <w:t>יאסוף מידע מיחידים ומארגונים שאינם פועלים מטעם ממשלת ישראל, על הפרות חמורות של זכויות אדם;</w:t>
            </w:r>
          </w:p>
        </w:tc>
      </w:tr>
      <w:tr w:rsidR="002E728B" w:rsidRPr="00A70E27" w14:paraId="3EAD886E" w14:textId="77777777" w:rsidTr="00FD5C7E">
        <w:trPr>
          <w:cantSplit/>
        </w:trPr>
        <w:tc>
          <w:tcPr>
            <w:tcW w:w="1871" w:type="dxa"/>
          </w:tcPr>
          <w:p w14:paraId="2FD9E9B1" w14:textId="77777777" w:rsidR="002E728B" w:rsidRPr="00A70E27" w:rsidRDefault="002E728B" w:rsidP="00E55DD0">
            <w:pPr>
              <w:pStyle w:val="TableSideHeading"/>
              <w:rPr>
                <w:szCs w:val="20"/>
              </w:rPr>
            </w:pPr>
          </w:p>
        </w:tc>
        <w:tc>
          <w:tcPr>
            <w:tcW w:w="624" w:type="dxa"/>
          </w:tcPr>
          <w:p w14:paraId="55E6F57B" w14:textId="77777777" w:rsidR="002E728B" w:rsidRPr="00A70E27" w:rsidRDefault="002E728B" w:rsidP="00E55DD0">
            <w:pPr>
              <w:pStyle w:val="TableText"/>
            </w:pPr>
          </w:p>
        </w:tc>
        <w:tc>
          <w:tcPr>
            <w:tcW w:w="624" w:type="dxa"/>
          </w:tcPr>
          <w:p w14:paraId="186442C8" w14:textId="77777777" w:rsidR="002E728B" w:rsidRPr="00A70E27" w:rsidRDefault="002E728B" w:rsidP="00E55DD0">
            <w:pPr>
              <w:pStyle w:val="TableText"/>
            </w:pPr>
          </w:p>
        </w:tc>
        <w:tc>
          <w:tcPr>
            <w:tcW w:w="624" w:type="dxa"/>
          </w:tcPr>
          <w:p w14:paraId="5962B6FD" w14:textId="77777777" w:rsidR="002E728B" w:rsidRPr="00A70E27" w:rsidRDefault="002E728B" w:rsidP="00E55DD0">
            <w:pPr>
              <w:pStyle w:val="TableText"/>
            </w:pPr>
          </w:p>
        </w:tc>
        <w:tc>
          <w:tcPr>
            <w:tcW w:w="624" w:type="dxa"/>
          </w:tcPr>
          <w:p w14:paraId="3B12FAED" w14:textId="77777777" w:rsidR="002E728B" w:rsidRPr="00A70E27" w:rsidRDefault="002E728B" w:rsidP="00E55DD0">
            <w:pPr>
              <w:pStyle w:val="TableText"/>
            </w:pPr>
          </w:p>
        </w:tc>
        <w:tc>
          <w:tcPr>
            <w:tcW w:w="624" w:type="dxa"/>
          </w:tcPr>
          <w:p w14:paraId="623128F7" w14:textId="77777777" w:rsidR="002E728B" w:rsidRPr="00A70E27" w:rsidRDefault="002E728B" w:rsidP="00E55DD0">
            <w:pPr>
              <w:pStyle w:val="TableText"/>
            </w:pPr>
          </w:p>
        </w:tc>
        <w:tc>
          <w:tcPr>
            <w:tcW w:w="624" w:type="dxa"/>
          </w:tcPr>
          <w:p w14:paraId="12FD87E4" w14:textId="77777777" w:rsidR="002E728B" w:rsidRPr="00A70E27" w:rsidRDefault="002E728B" w:rsidP="00E55DD0">
            <w:pPr>
              <w:pStyle w:val="TableText"/>
            </w:pPr>
          </w:p>
        </w:tc>
        <w:tc>
          <w:tcPr>
            <w:tcW w:w="4023" w:type="dxa"/>
          </w:tcPr>
          <w:p w14:paraId="2352E87B" w14:textId="77777777" w:rsidR="002E728B" w:rsidRPr="00A57560" w:rsidRDefault="002E728B" w:rsidP="00FD5C7E">
            <w:pPr>
              <w:pStyle w:val="TableBlock"/>
              <w:rPr>
                <w:rtl/>
              </w:rPr>
            </w:pPr>
            <w:r w:rsidRPr="00A57560">
              <w:rPr>
                <w:rtl/>
              </w:rPr>
              <w:t xml:space="preserve">(3) </w:t>
            </w:r>
            <w:r w:rsidRPr="00A57560">
              <w:rPr>
                <w:rtl/>
              </w:rPr>
              <w:tab/>
              <w:t xml:space="preserve">יקבל באופן שוטף מידע רלוונטי ממשרד הביטחון, המטה לביטחון לאומי, צבא הגנה לישראל, שירות הביטחון הכללי והמוסד למודיעין ולתפקידים מיוחדים; לשם ביצוע הוראות פסקה זו יקים משרד החוץ לצרכיו מאגר מידע </w:t>
            </w:r>
            <w:r>
              <w:rPr>
                <w:rtl/>
              </w:rPr>
              <w:t>ש</w:t>
            </w:r>
            <w:r w:rsidRPr="00A57560">
              <w:rPr>
                <w:rtl/>
              </w:rPr>
              <w:t>בו ירוכז המידע.</w:t>
            </w:r>
          </w:p>
        </w:tc>
      </w:tr>
      <w:tr w:rsidR="002E728B" w:rsidRPr="00A70E27" w14:paraId="7C88C687" w14:textId="77777777" w:rsidTr="00FD5C7E">
        <w:trPr>
          <w:cantSplit/>
        </w:trPr>
        <w:tc>
          <w:tcPr>
            <w:tcW w:w="1871" w:type="dxa"/>
          </w:tcPr>
          <w:p w14:paraId="2257C452" w14:textId="77777777" w:rsidR="002E728B" w:rsidRPr="00A70E27" w:rsidRDefault="002E728B" w:rsidP="00E55DD0">
            <w:pPr>
              <w:pStyle w:val="TableSideHeading"/>
            </w:pPr>
          </w:p>
        </w:tc>
        <w:tc>
          <w:tcPr>
            <w:tcW w:w="624" w:type="dxa"/>
          </w:tcPr>
          <w:p w14:paraId="1C1347E5" w14:textId="77777777" w:rsidR="002E728B" w:rsidRPr="00A70E27" w:rsidRDefault="002E728B" w:rsidP="00E55DD0">
            <w:pPr>
              <w:pStyle w:val="TableText"/>
            </w:pPr>
          </w:p>
        </w:tc>
        <w:tc>
          <w:tcPr>
            <w:tcW w:w="624" w:type="dxa"/>
          </w:tcPr>
          <w:p w14:paraId="2AB9E852" w14:textId="77777777" w:rsidR="002E728B" w:rsidRPr="00A70E27" w:rsidRDefault="002E728B" w:rsidP="00E55DD0">
            <w:pPr>
              <w:pStyle w:val="TableText"/>
            </w:pPr>
          </w:p>
        </w:tc>
        <w:tc>
          <w:tcPr>
            <w:tcW w:w="624" w:type="dxa"/>
          </w:tcPr>
          <w:p w14:paraId="39125A3F" w14:textId="77777777" w:rsidR="002E728B" w:rsidRPr="00A70E27" w:rsidRDefault="002E728B" w:rsidP="00E55DD0">
            <w:pPr>
              <w:pStyle w:val="TableText"/>
            </w:pPr>
          </w:p>
        </w:tc>
        <w:tc>
          <w:tcPr>
            <w:tcW w:w="624" w:type="dxa"/>
          </w:tcPr>
          <w:p w14:paraId="101CEF2B" w14:textId="77777777" w:rsidR="002E728B" w:rsidRPr="00A70E27" w:rsidRDefault="002E728B" w:rsidP="00E55DD0">
            <w:pPr>
              <w:pStyle w:val="TableText"/>
            </w:pPr>
          </w:p>
        </w:tc>
        <w:tc>
          <w:tcPr>
            <w:tcW w:w="624" w:type="dxa"/>
          </w:tcPr>
          <w:p w14:paraId="410FF4A7" w14:textId="77777777" w:rsidR="002E728B" w:rsidRPr="00A70E27" w:rsidRDefault="002E728B" w:rsidP="00E55DD0">
            <w:pPr>
              <w:pStyle w:val="TableText"/>
            </w:pPr>
          </w:p>
        </w:tc>
        <w:tc>
          <w:tcPr>
            <w:tcW w:w="4647" w:type="dxa"/>
            <w:gridSpan w:val="2"/>
          </w:tcPr>
          <w:p w14:paraId="1C296EB5" w14:textId="77777777" w:rsidR="002E728B" w:rsidRPr="00A57560" w:rsidRDefault="002E728B" w:rsidP="00FD5C7E">
            <w:pPr>
              <w:pStyle w:val="TableBlock"/>
              <w:rPr>
                <w:rtl/>
              </w:rPr>
            </w:pPr>
            <w:r>
              <w:rPr>
                <w:rtl/>
              </w:rPr>
              <w:t>(ח)</w:t>
            </w:r>
            <w:r>
              <w:rPr>
                <w:rtl/>
              </w:rPr>
              <w:tab/>
            </w:r>
            <w:r w:rsidRPr="00A57560">
              <w:rPr>
                <w:rtl/>
              </w:rPr>
              <w:t>משרד החוץ יפרסם באתר האינטרנט שלו, בכפוף להוראות סעיף 9(א)(1) לחוק חופש המידע, התשנ"ח–1998</w:t>
            </w:r>
            <w:r w:rsidRPr="00A57560">
              <w:rPr>
                <w:vertAlign w:val="superscript"/>
                <w:rtl/>
              </w:rPr>
              <w:footnoteReference w:id="3"/>
            </w:r>
            <w:r w:rsidRPr="00A57560">
              <w:rPr>
                <w:rtl/>
              </w:rPr>
              <w:t>, את פרטי אלה שהוחלט לאסור את היצוא הביטחוני אליהם מאחר שביצעו הפרות חמורות של זכויות אדם</w:t>
            </w:r>
            <w:r>
              <w:rPr>
                <w:rtl/>
              </w:rPr>
              <w:t>."</w:t>
            </w:r>
          </w:p>
        </w:tc>
      </w:tr>
    </w:tbl>
    <w:p w14:paraId="263532C3" w14:textId="77777777" w:rsidR="002E728B" w:rsidRPr="00A70E27" w:rsidRDefault="002E728B" w:rsidP="002E728B">
      <w:pPr>
        <w:pStyle w:val="HeadDivreiHesber"/>
        <w:rPr>
          <w:rtl/>
        </w:rPr>
      </w:pPr>
      <w:r w:rsidRPr="00A70E27">
        <w:rPr>
          <w:rtl/>
        </w:rPr>
        <w:t>דברי הסבר</w:t>
      </w:r>
    </w:p>
    <w:p w14:paraId="61E93722" w14:textId="69FF7910" w:rsidR="002E728B" w:rsidRPr="00FD5C7E" w:rsidRDefault="00FD5C7E" w:rsidP="00FD5C7E">
      <w:pPr>
        <w:pStyle w:val="Hesber"/>
        <w:rPr>
          <w:rtl/>
        </w:rPr>
      </w:pPr>
      <w:r w:rsidRPr="00FD5C7E">
        <w:rPr>
          <w:rFonts w:hint="cs"/>
          <w:rtl/>
        </w:rPr>
        <w:t xml:space="preserve">נכון לסוף שנת 2013, </w:t>
      </w:r>
      <w:r w:rsidR="002E728B" w:rsidRPr="00FD5C7E">
        <w:rPr>
          <w:rtl/>
        </w:rPr>
        <w:t>משרד הביטחון נתן 400,000 רישיונות יצוא ושיווק ביטחוני ל-130 מדינות וגורמים נוספים. ואולם, למרבה הצער, אין בעולם 130 מדינות דמוקרטיות. ממרשם של האו"ם עולה כי  במהלך השנים היה יצוא של ציוד ביטחוני ישראלי אל מדינות שבאותה העת בוצעו בהן הפרות חמורות של זכויות אדם (</w:t>
      </w:r>
      <w:r w:rsidR="002E728B" w:rsidRPr="00FD5C7E">
        <w:t>http://www.un-register.org/HeavyWeapons/Index.aspx?CoI=IL&amp;type=0&amp;year=0&amp;#lnkreg</w:t>
      </w:r>
      <w:r w:rsidR="002E728B" w:rsidRPr="00FD5C7E">
        <w:rPr>
          <w:rtl/>
        </w:rPr>
        <w:t>). לדוגמא, לפי המרשם, היה יצוא ישראלי לצ'אד ב-2008 (</w:t>
      </w:r>
      <w:r w:rsidR="002E728B" w:rsidRPr="00FD5C7E">
        <w:t>http://www.un-register.org/HeavyWeapons/ CountrySummaryReports.aspx?CoI=95</w:t>
      </w:r>
      <w:r w:rsidR="002E728B" w:rsidRPr="00FD5C7E">
        <w:rPr>
          <w:rtl/>
        </w:rPr>
        <w:t>), בזמן מלחמת האזרחים העקובה מדם שנתקיימה שם (</w:t>
      </w:r>
      <w:r w:rsidR="002E728B" w:rsidRPr="00FD5C7E">
        <w:t>http://www.state.gov/j/drl/rls/hrrpt/2008/af/118993.htm</w:t>
      </w:r>
      <w:r w:rsidR="002E728B" w:rsidRPr="00FD5C7E">
        <w:rPr>
          <w:rtl/>
        </w:rPr>
        <w:t>). גם לרואנדה היה יצוא ישראלי ב-2008, בזמן שלפי משרד החוץ האמריקאי התקיימו שם הפרות חמורות של זכויות אדם על ידי כוחות הביטחון (</w:t>
      </w:r>
      <w:r w:rsidR="002E728B" w:rsidRPr="00FD5C7E">
        <w:t>http://www.state.gov/j/drl/rls/hrrpt/2008/af/119019.htm</w:t>
      </w:r>
      <w:r w:rsidR="002E728B" w:rsidRPr="00FD5C7E">
        <w:rPr>
          <w:rtl/>
        </w:rPr>
        <w:t>). רואנדה עצמה היתה מעורבת במלחמה רבת השנים בקונגו ובחימוש המורדים שם (כולל תמיכה במליציות שעושות שימוש בחיילים-ילדים). מהמרשם עולה עוד כי היה יצוא ביטחוני ישראלי לקניה בשנת 2011, בזמן שלפי משרד החוץ האמריקאי כוחות הביטחון שם היו מעורבים בעינויים, אונס, והריגה ללא משפט (</w:t>
      </w:r>
      <w:r w:rsidR="002E728B" w:rsidRPr="00FD5C7E">
        <w:t>http://www.state.gov/j/drl/rls/hrrpt/ 2011humanrightsreport/index.htm?dlid=186208</w:t>
      </w:r>
      <w:r w:rsidR="002E728B" w:rsidRPr="00FD5C7E">
        <w:rPr>
          <w:rtl/>
        </w:rPr>
        <w:t>).</w:t>
      </w:r>
    </w:p>
    <w:p w14:paraId="4AF4FA74" w14:textId="77777777" w:rsidR="002E728B" w:rsidRPr="00FD5C7E" w:rsidRDefault="002E728B" w:rsidP="00FD5C7E">
      <w:pPr>
        <w:pStyle w:val="Hesber"/>
        <w:rPr>
          <w:rtl/>
        </w:rPr>
      </w:pPr>
      <w:r w:rsidRPr="00FD5C7E">
        <w:rPr>
          <w:rtl/>
        </w:rPr>
        <w:t>מהנתונים עולה כי גם בעבר הרחוק יותר משרד הביטחון אישר יצוא ביטחוני למדינות מפוקפקות ולמשטרים דיקטטוריים או לא יציבים, למרות שהקהילה הבינלאומית חזרה וטענה כי הם מפרים באופן שיטתי את זכויות האדם של אזרחיהם, את המשפט הבינלאומי או מעורבים בפשעי מלחמה ובפשעים נגד האנושות. כך, פורסם בשנת 2007 במאמרו של תא"ל עוזי עילם (</w:t>
      </w:r>
      <w:r w:rsidRPr="00FD5C7E">
        <w:t>Defense Export Control in 2007: State of Affairs, Strategic Assessment, March 2007, Vol.9, No.4, Eilam Uzi</w:t>
      </w:r>
      <w:r w:rsidRPr="00FD5C7E">
        <w:rPr>
          <w:rtl/>
        </w:rPr>
        <w:t>), אשר שימש כמנכ"ל הוועדה לאנרגיה אטומית וראש המנהל למחקר, פיתוח אמצעי לחימה ותשתית טכנולוגית (מפא"ת) במשרד הביטחון, ומשמש כיום כחוקר בכיר בצוות "המכון למחקרי ביטחון לאומי" באוניברסיטת תל אביב:</w:t>
      </w:r>
    </w:p>
    <w:p w14:paraId="33390B95" w14:textId="1E9C9137" w:rsidR="002E728B" w:rsidRPr="00FD5C7E" w:rsidRDefault="002E728B" w:rsidP="00FD5C7E">
      <w:pPr>
        <w:pStyle w:val="Hesber"/>
      </w:pPr>
      <w:r w:rsidRPr="00FD5C7E">
        <w:t xml:space="preserve">"Israel directed its export efforts to a range of countries, including states that were </w:t>
      </w:r>
      <w:r w:rsidR="001310A3" w:rsidRPr="00FD5C7E">
        <w:t>'</w:t>
      </w:r>
      <w:r w:rsidRPr="00FD5C7E">
        <w:t>ostracized</w:t>
      </w:r>
      <w:r w:rsidR="001310A3" w:rsidRPr="00FD5C7E">
        <w:t>'</w:t>
      </w:r>
      <w:r w:rsidRPr="00FD5C7E">
        <w:t xml:space="preserve"> by the </w:t>
      </w:r>
      <w:r w:rsidRPr="00FD5C7E">
        <w:lastRenderedPageBreak/>
        <w:t>international community (Chile and South Africa); South American states suspected of drug dealing; African states connected to genocide…Israel managed to establish connections with African states via supplies of arms needed by those states, for example, in exports to Uganda, Congo, Kenya, and Ethiopia."</w:t>
      </w:r>
    </w:p>
    <w:p w14:paraId="2E7E2BFF" w14:textId="530858E7" w:rsidR="002E728B" w:rsidRPr="00FD5C7E" w:rsidRDefault="002E728B" w:rsidP="00FD5C7E">
      <w:pPr>
        <w:pStyle w:val="Hesber"/>
        <w:rPr>
          <w:rtl/>
        </w:rPr>
      </w:pPr>
      <w:r w:rsidRPr="00FD5C7E">
        <w:rPr>
          <w:rtl/>
        </w:rPr>
        <w:t>להבדיל מן החקיקה המקבילה במדינות רבות כמו ארצות הברית, שם ניתן ביטוי מפורש לשיקולים הנוגעים לזכויות אד</w:t>
      </w:r>
      <w:r w:rsidR="00FD5C7E" w:rsidRPr="00FD5C7E">
        <w:rPr>
          <w:rtl/>
        </w:rPr>
        <w:t xml:space="preserve">ם ועמידה בכללי המשפט הבינלאומי </w:t>
      </w:r>
      <w:r w:rsidRPr="00FD5C7E">
        <w:rPr>
          <w:rtl/>
        </w:rPr>
        <w:t>ההומניטארי, בחוק הפיקוח על יצוא ביטחוני, התשס"ז–2007</w:t>
      </w:r>
      <w:r w:rsidR="001310A3" w:rsidRPr="00FD5C7E">
        <w:rPr>
          <w:rFonts w:hint="cs"/>
          <w:rtl/>
        </w:rPr>
        <w:t xml:space="preserve"> (להלן </w:t>
      </w:r>
      <w:r w:rsidR="001310A3" w:rsidRPr="00FD5C7E">
        <w:rPr>
          <w:rtl/>
        </w:rPr>
        <w:t>–</w:t>
      </w:r>
      <w:r w:rsidR="001310A3" w:rsidRPr="00FD5C7E">
        <w:rPr>
          <w:rFonts w:hint="cs"/>
          <w:rtl/>
        </w:rPr>
        <w:t xml:space="preserve"> חוק הפיקוח)</w:t>
      </w:r>
      <w:r w:rsidRPr="00FD5C7E">
        <w:rPr>
          <w:rtl/>
        </w:rPr>
        <w:t>, יש רק התייחסות לאמברגו של מועצת הביטחון של ארגון האו"ם. איך בכך די שכן למועצת הביטחון מגבלות פוליטיות רבות, וההחלטות המגבילות סחר בנשק מטעם גוף זה הן החריג שאינו מעיד על הכלל. על כן, לאור היעדר התייחסות מפורשת בחוק הפיקוח הישראלי לשיקולים הנוגעים לדיני זכויות האדם והמשפט הבינלאומי ההומניטארי, מדינת ישראל עלולה לתרום לליבוי סכסוכים אלימים ברחבי העולם שבהם מתבצעות הפרות קשות של המשפט הבינלאומי וזכויות אדם.</w:t>
      </w:r>
    </w:p>
    <w:p w14:paraId="396A9973" w14:textId="5F48FF25" w:rsidR="002E728B" w:rsidRPr="00FD5C7E" w:rsidRDefault="002E728B" w:rsidP="00FD5C7E">
      <w:pPr>
        <w:pStyle w:val="Hesber"/>
        <w:rPr>
          <w:rtl/>
        </w:rPr>
      </w:pPr>
      <w:r w:rsidRPr="00FD5C7E">
        <w:rPr>
          <w:rtl/>
        </w:rPr>
        <w:t xml:space="preserve">הצעת חוק זו מבקשת להגביל את היצוא הביטחוני למדינות שלגביהן יש למשרד החוץ מידע </w:t>
      </w:r>
      <w:r w:rsidR="00701374" w:rsidRPr="00FD5C7E">
        <w:rPr>
          <w:rFonts w:hint="cs"/>
          <w:rtl/>
        </w:rPr>
        <w:t xml:space="preserve">לפיו </w:t>
      </w:r>
      <w:r w:rsidRPr="00FD5C7E">
        <w:rPr>
          <w:rtl/>
        </w:rPr>
        <w:t>קיימים בהן כוחות ביטחון שביצעו הפרות חמורות של זכויות אדם. סעיף קטן (ו)(2) המוצע מגדיר את הקריטריונים למידע, בהם בין היתר החובה לאסוף מידע מאנשים פרטיים ומארגונים. ההצעה מבוססת על החקיקה המקבילה בארה"ב –</w:t>
      </w:r>
      <w:r w:rsidRPr="00FD5C7E">
        <w:t>of 1976</w:t>
      </w:r>
      <w:r w:rsidRPr="00FD5C7E">
        <w:rPr>
          <w:rtl/>
        </w:rPr>
        <w:t xml:space="preserve"> </w:t>
      </w:r>
      <w:r w:rsidRPr="00FD5C7E">
        <w:t>The Arms Export Control Act</w:t>
      </w:r>
      <w:r w:rsidRPr="00FD5C7E">
        <w:rPr>
          <w:rtl/>
        </w:rPr>
        <w:t xml:space="preserve"> (להלן – </w:t>
      </w:r>
      <w:r w:rsidRPr="00FD5C7E">
        <w:t>FAA</w:t>
      </w:r>
      <w:r w:rsidRPr="00FD5C7E">
        <w:rPr>
          <w:rtl/>
        </w:rPr>
        <w:t xml:space="preserve">) ובעיקר על </w:t>
      </w:r>
      <w:r w:rsidRPr="00FD5C7E">
        <w:t>Section 620M</w:t>
      </w:r>
      <w:r w:rsidRPr="00FD5C7E">
        <w:rPr>
          <w:rtl/>
        </w:rPr>
        <w:t xml:space="preserve"> ב-</w:t>
      </w:r>
      <w:r w:rsidRPr="00FD5C7E">
        <w:t>Foreign Assistance Act of 1961</w:t>
      </w:r>
      <w:r w:rsidRPr="00FD5C7E">
        <w:rPr>
          <w:rtl/>
        </w:rPr>
        <w:t xml:space="preserve"> (</w:t>
      </w:r>
      <w:r w:rsidRPr="00FD5C7E">
        <w:t>22 U.S.C. 2378d</w:t>
      </w:r>
      <w:r w:rsidRPr="00FD5C7E">
        <w:rPr>
          <w:rtl/>
        </w:rPr>
        <w:t xml:space="preserve">), אשר הוסף בסדרה של תיקונים המכונים </w:t>
      </w:r>
      <w:r w:rsidRPr="00FD5C7E">
        <w:t>Leahy Law"</w:t>
      </w:r>
      <w:r w:rsidRPr="00FD5C7E">
        <w:rPr>
          <w:rtl/>
        </w:rPr>
        <w:t>" (על שם פטריק ליהי,</w:t>
      </w:r>
      <w:r w:rsidRPr="00FD5C7E">
        <w:t> </w:t>
      </w:r>
      <w:r w:rsidRPr="00FD5C7E">
        <w:rPr>
          <w:rtl/>
        </w:rPr>
        <w:t>סנטור</w:t>
      </w:r>
      <w:r w:rsidRPr="00FD5C7E">
        <w:t> </w:t>
      </w:r>
      <w:r w:rsidRPr="00FD5C7E">
        <w:rPr>
          <w:rtl/>
        </w:rPr>
        <w:t>ממדינת</w:t>
      </w:r>
      <w:r w:rsidRPr="00FD5C7E">
        <w:t> </w:t>
      </w:r>
      <w:r w:rsidRPr="00FD5C7E">
        <w:rPr>
          <w:rtl/>
        </w:rPr>
        <w:t xml:space="preserve">ורמונט אשר קידם אותם). לפי המוצע, הגדרת </w:t>
      </w:r>
      <w:r w:rsidR="00E90C6A" w:rsidRPr="00FD5C7E">
        <w:rPr>
          <w:rFonts w:hint="cs"/>
          <w:rtl/>
        </w:rPr>
        <w:t>ה</w:t>
      </w:r>
      <w:r w:rsidRPr="00FD5C7E">
        <w:rPr>
          <w:rtl/>
        </w:rPr>
        <w:t xml:space="preserve">הפרות החמורות של זכויות אדם מבוססת על </w:t>
      </w:r>
      <w:r w:rsidRPr="00FD5C7E">
        <w:t>Section 502B(d)(l)</w:t>
      </w:r>
      <w:r w:rsidRPr="00FD5C7E">
        <w:rPr>
          <w:rtl/>
        </w:rPr>
        <w:t xml:space="preserve"> ל-</w:t>
      </w:r>
      <w:r w:rsidRPr="00FD5C7E">
        <w:t>FAA</w:t>
      </w:r>
      <w:r w:rsidRPr="00FD5C7E">
        <w:rPr>
          <w:rtl/>
        </w:rPr>
        <w:t xml:space="preserve"> (</w:t>
      </w:r>
      <w:r w:rsidRPr="00FD5C7E">
        <w:t>22 U.S.C. 2340(d)(I)</w:t>
      </w:r>
      <w:r w:rsidRPr="00FD5C7E">
        <w:rPr>
          <w:rtl/>
        </w:rPr>
        <w:t>). בדומה לחקיקה ולמדיניות של משרד החוץ בארה"ב, ההגדרה אינה מהווה רשימה סגורה, ויש לבחון כל מקרה של הפרה לגופו.</w:t>
      </w:r>
    </w:p>
    <w:p w14:paraId="498D9304" w14:textId="77777777" w:rsidR="002E728B" w:rsidRPr="00FD5C7E" w:rsidRDefault="002E728B" w:rsidP="00FD5C7E">
      <w:pPr>
        <w:pStyle w:val="Hesber"/>
        <w:rPr>
          <w:rtl/>
        </w:rPr>
      </w:pPr>
      <w:r w:rsidRPr="00FD5C7E">
        <w:rPr>
          <w:rtl/>
        </w:rPr>
        <w:t>על כן, מוצע לתקן את המצב לפיו היצוא הביטחוני הישראלי ישמש בהפרות זכויות אדם בעולם, ולהוסיף איסור מפורש על יצוא ביטחוני לכוחות ביטחון במדינות זרות שביצעו הפרות חמורות של זכויות אדם. בהתאם לכך, מוצע כי לא תתאפשר הגשת השגה לפי סעיף 10 במקרה של החלטה לפי סעיף 8א המוצע.</w:t>
      </w:r>
    </w:p>
    <w:p w14:paraId="574DC9CF" w14:textId="40160F58" w:rsidR="002E728B" w:rsidRDefault="002E728B" w:rsidP="00FD5C7E">
      <w:pPr>
        <w:pStyle w:val="Hesber"/>
        <w:rPr>
          <w:rFonts w:hint="cs"/>
          <w:rtl/>
        </w:rPr>
      </w:pPr>
      <w:r w:rsidRPr="00FD5C7E">
        <w:rPr>
          <w:rFonts w:hint="cs"/>
          <w:rtl/>
        </w:rPr>
        <w:t xml:space="preserve">הצעת חוק </w:t>
      </w:r>
      <w:r w:rsidR="00E90C6A" w:rsidRPr="00FD5C7E">
        <w:rPr>
          <w:rFonts w:hint="cs"/>
          <w:rtl/>
        </w:rPr>
        <w:t>זהה</w:t>
      </w:r>
      <w:r w:rsidRPr="00FD5C7E">
        <w:rPr>
          <w:rFonts w:hint="cs"/>
          <w:rtl/>
        </w:rPr>
        <w:t xml:space="preserve"> הונחה על שולחן הכנסת התשע-עשרה על</w:t>
      </w:r>
      <w:r w:rsidR="0021045B" w:rsidRPr="00FD5C7E">
        <w:rPr>
          <w:rFonts w:hint="cs"/>
          <w:rtl/>
        </w:rPr>
        <w:t xml:space="preserve"> </w:t>
      </w:r>
      <w:r w:rsidRPr="00FD5C7E">
        <w:rPr>
          <w:rFonts w:hint="cs"/>
          <w:rtl/>
        </w:rPr>
        <w:t xml:space="preserve">ידי חברת הכנסת תמר זנדברג וקבוצת חברי </w:t>
      </w:r>
      <w:r w:rsidR="00B03444">
        <w:rPr>
          <w:rFonts w:hint="cs"/>
          <w:rtl/>
        </w:rPr>
        <w:t>ה</w:t>
      </w:r>
      <w:r w:rsidRPr="00FD5C7E">
        <w:rPr>
          <w:rFonts w:hint="cs"/>
          <w:rtl/>
        </w:rPr>
        <w:t>כנסת (</w:t>
      </w:r>
      <w:bookmarkStart w:id="8" w:name="LawNum"/>
      <w:r w:rsidRPr="00FD5C7E">
        <w:rPr>
          <w:rFonts w:hint="cs"/>
          <w:rtl/>
        </w:rPr>
        <w:t>פ</w:t>
      </w:r>
      <w:r w:rsidRPr="00FD5C7E">
        <w:rPr>
          <w:rtl/>
        </w:rPr>
        <w:t>/2721/19</w:t>
      </w:r>
      <w:bookmarkEnd w:id="8"/>
      <w:r w:rsidRPr="00FD5C7E">
        <w:rPr>
          <w:rFonts w:hint="cs"/>
          <w:rtl/>
        </w:rPr>
        <w:t>)</w:t>
      </w:r>
      <w:r w:rsidR="0021045B" w:rsidRPr="00FD5C7E">
        <w:rPr>
          <w:rFonts w:hint="cs"/>
          <w:rtl/>
        </w:rPr>
        <w:t>.</w:t>
      </w:r>
    </w:p>
    <w:p w14:paraId="647037B5" w14:textId="77777777" w:rsidR="00B03444" w:rsidRPr="00FD5C7E" w:rsidRDefault="00B03444" w:rsidP="00FD5C7E">
      <w:pPr>
        <w:pStyle w:val="Hesber"/>
      </w:pPr>
      <w:bookmarkStart w:id="9" w:name="_GoBack"/>
      <w:bookmarkEnd w:id="9"/>
    </w:p>
    <w:p w14:paraId="3F6D0490" w14:textId="77777777" w:rsidR="00B03444" w:rsidRPr="00557D2C" w:rsidRDefault="00B03444" w:rsidP="007D273A">
      <w:pPr>
        <w:pStyle w:val="Hesber"/>
        <w:rPr>
          <w:rtl/>
        </w:rPr>
      </w:pPr>
      <w:r w:rsidRPr="00557D2C">
        <w:rPr>
          <w:rtl/>
        </w:rPr>
        <w:t>---------------------------------</w:t>
      </w:r>
    </w:p>
    <w:p w14:paraId="5454D351" w14:textId="77777777" w:rsidR="00B03444" w:rsidRPr="00557D2C" w:rsidRDefault="00B03444" w:rsidP="007D273A">
      <w:pPr>
        <w:pStyle w:val="Hesber"/>
        <w:rPr>
          <w:rtl/>
        </w:rPr>
      </w:pPr>
      <w:r w:rsidRPr="00557D2C">
        <w:rPr>
          <w:rtl/>
        </w:rPr>
        <w:t>הוגשה ליו"ר הכנסת והסגנים</w:t>
      </w:r>
    </w:p>
    <w:p w14:paraId="553B9D72" w14:textId="77777777" w:rsidR="00B03444" w:rsidRPr="00557D2C" w:rsidRDefault="00B03444" w:rsidP="007D273A">
      <w:pPr>
        <w:pStyle w:val="Hesber"/>
        <w:rPr>
          <w:rtl/>
        </w:rPr>
      </w:pPr>
      <w:r w:rsidRPr="00557D2C">
        <w:rPr>
          <w:rtl/>
        </w:rPr>
        <w:t>והונחה על שולחן הכנסת ביום</w:t>
      </w:r>
    </w:p>
    <w:p w14:paraId="6B140224" w14:textId="77777777" w:rsidR="00B03444" w:rsidRPr="007D273A" w:rsidRDefault="00B03444" w:rsidP="007D273A">
      <w:pPr>
        <w:pStyle w:val="Hesber"/>
        <w:rPr>
          <w:rtl/>
        </w:rPr>
      </w:pPr>
      <w:r w:rsidRPr="00557D2C">
        <w:rPr>
          <w:rFonts w:hint="cs"/>
          <w:rtl/>
        </w:rPr>
        <w:t xml:space="preserve">ט"ו באייר התשע"ה </w:t>
      </w:r>
      <w:r w:rsidRPr="00557D2C">
        <w:rPr>
          <w:rtl/>
        </w:rPr>
        <w:t>–</w:t>
      </w:r>
      <w:r w:rsidRPr="00557D2C">
        <w:rPr>
          <w:rFonts w:hint="cs"/>
          <w:rtl/>
        </w:rPr>
        <w:t xml:space="preserve"> 4.5.15</w:t>
      </w:r>
    </w:p>
    <w:p w14:paraId="7F6961CB" w14:textId="77777777" w:rsidR="00E13C27" w:rsidRPr="002E728B" w:rsidRDefault="00E13C27" w:rsidP="00E13C27">
      <w:pPr>
        <w:pStyle w:val="Hesber"/>
        <w:rPr>
          <w:rtl/>
        </w:rPr>
      </w:pPr>
    </w:p>
    <w:sectPr w:rsidR="00E13C27" w:rsidRPr="002E728B"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B03444">
      <w:rPr>
        <w:rStyle w:val="ab"/>
        <w:noProof/>
        <w:rtl/>
      </w:rPr>
      <w:t>4</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5E43DD5E" w14:textId="77777777" w:rsidR="002E728B" w:rsidRDefault="002E728B" w:rsidP="002E728B">
      <w:pPr>
        <w:pStyle w:val="a4"/>
      </w:pPr>
      <w:r>
        <w:rPr>
          <w:rStyle w:val="a6"/>
        </w:rPr>
        <w:footnoteRef/>
      </w:r>
      <w:r>
        <w:rPr>
          <w:rtl/>
        </w:rPr>
        <w:t xml:space="preserve"> </w:t>
      </w:r>
      <w:hyperlink r:id="rId1" w:history="1"/>
      <w:r w:rsidRPr="00B53FE1">
        <w:t> </w:t>
      </w:r>
      <w:r w:rsidRPr="00451709">
        <w:rPr>
          <w:rtl/>
        </w:rPr>
        <w:t>ס"ח התשס"ז</w:t>
      </w:r>
      <w:r>
        <w:rPr>
          <w:rtl/>
        </w:rPr>
        <w:t xml:space="preserve">, </w:t>
      </w:r>
      <w:r w:rsidRPr="00B53FE1">
        <w:rPr>
          <w:rtl/>
        </w:rPr>
        <w:t>עמ' 186</w:t>
      </w:r>
      <w:r>
        <w:rPr>
          <w:rtl/>
        </w:rPr>
        <w:t>.</w:t>
      </w:r>
    </w:p>
  </w:footnote>
  <w:footnote w:id="3">
    <w:p w14:paraId="6C9050D0" w14:textId="77777777" w:rsidR="002E728B" w:rsidRDefault="002E728B" w:rsidP="002E728B">
      <w:pPr>
        <w:pStyle w:val="a4"/>
      </w:pPr>
      <w:r>
        <w:rPr>
          <w:rStyle w:val="a6"/>
        </w:rPr>
        <w:footnoteRef/>
      </w:r>
      <w:r>
        <w:rPr>
          <w:rtl/>
        </w:rPr>
        <w:t xml:space="preserve"> ס"ח התשנ"ח,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310A3"/>
    <w:rsid w:val="0014195F"/>
    <w:rsid w:val="00152609"/>
    <w:rsid w:val="00153E1B"/>
    <w:rsid w:val="001A0623"/>
    <w:rsid w:val="001C23B0"/>
    <w:rsid w:val="00203A7F"/>
    <w:rsid w:val="0021045B"/>
    <w:rsid w:val="002200A1"/>
    <w:rsid w:val="002362BF"/>
    <w:rsid w:val="00241B97"/>
    <w:rsid w:val="00246756"/>
    <w:rsid w:val="00251E58"/>
    <w:rsid w:val="00254605"/>
    <w:rsid w:val="002728B4"/>
    <w:rsid w:val="0027600C"/>
    <w:rsid w:val="00292712"/>
    <w:rsid w:val="002A487D"/>
    <w:rsid w:val="002C2E29"/>
    <w:rsid w:val="002D1EE3"/>
    <w:rsid w:val="002E728B"/>
    <w:rsid w:val="002F1D80"/>
    <w:rsid w:val="003232A2"/>
    <w:rsid w:val="00325C14"/>
    <w:rsid w:val="003710F6"/>
    <w:rsid w:val="00386E88"/>
    <w:rsid w:val="00391E0C"/>
    <w:rsid w:val="00396585"/>
    <w:rsid w:val="003D74A0"/>
    <w:rsid w:val="004033D8"/>
    <w:rsid w:val="004073F0"/>
    <w:rsid w:val="00412A7D"/>
    <w:rsid w:val="00416B4D"/>
    <w:rsid w:val="00417CFC"/>
    <w:rsid w:val="004B24ED"/>
    <w:rsid w:val="004D2D82"/>
    <w:rsid w:val="004D3876"/>
    <w:rsid w:val="004E4552"/>
    <w:rsid w:val="00553C9D"/>
    <w:rsid w:val="00562A66"/>
    <w:rsid w:val="005B064E"/>
    <w:rsid w:val="005D51AE"/>
    <w:rsid w:val="0062674B"/>
    <w:rsid w:val="006363B2"/>
    <w:rsid w:val="00644940"/>
    <w:rsid w:val="006818A9"/>
    <w:rsid w:val="006A2D81"/>
    <w:rsid w:val="006C1D0D"/>
    <w:rsid w:val="00701374"/>
    <w:rsid w:val="0070601E"/>
    <w:rsid w:val="00712C72"/>
    <w:rsid w:val="00735FE9"/>
    <w:rsid w:val="00763CAA"/>
    <w:rsid w:val="00765F66"/>
    <w:rsid w:val="007C3FA6"/>
    <w:rsid w:val="007D585A"/>
    <w:rsid w:val="007D5A12"/>
    <w:rsid w:val="007E59F9"/>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43386"/>
    <w:rsid w:val="009456B6"/>
    <w:rsid w:val="00957589"/>
    <w:rsid w:val="00966D06"/>
    <w:rsid w:val="00982412"/>
    <w:rsid w:val="009832A4"/>
    <w:rsid w:val="00983A8D"/>
    <w:rsid w:val="009A7257"/>
    <w:rsid w:val="009D6E0A"/>
    <w:rsid w:val="00A14672"/>
    <w:rsid w:val="00A26BD6"/>
    <w:rsid w:val="00A443CF"/>
    <w:rsid w:val="00A6611D"/>
    <w:rsid w:val="00A82CB7"/>
    <w:rsid w:val="00AA2F03"/>
    <w:rsid w:val="00AC36F7"/>
    <w:rsid w:val="00AC63A4"/>
    <w:rsid w:val="00AD239E"/>
    <w:rsid w:val="00B03444"/>
    <w:rsid w:val="00B10265"/>
    <w:rsid w:val="00B21211"/>
    <w:rsid w:val="00B35784"/>
    <w:rsid w:val="00B733A7"/>
    <w:rsid w:val="00B975AD"/>
    <w:rsid w:val="00BC45FB"/>
    <w:rsid w:val="00BF148D"/>
    <w:rsid w:val="00C23B1A"/>
    <w:rsid w:val="00C310EB"/>
    <w:rsid w:val="00C9176A"/>
    <w:rsid w:val="00CF1AA2"/>
    <w:rsid w:val="00D37EB6"/>
    <w:rsid w:val="00D63620"/>
    <w:rsid w:val="00D778EE"/>
    <w:rsid w:val="00D8410D"/>
    <w:rsid w:val="00D867D7"/>
    <w:rsid w:val="00DB7060"/>
    <w:rsid w:val="00DE3153"/>
    <w:rsid w:val="00E06736"/>
    <w:rsid w:val="00E13C27"/>
    <w:rsid w:val="00E33BBD"/>
    <w:rsid w:val="00E45103"/>
    <w:rsid w:val="00E665B9"/>
    <w:rsid w:val="00E90C6A"/>
    <w:rsid w:val="00EA01E6"/>
    <w:rsid w:val="00EA3DE8"/>
    <w:rsid w:val="00EA758F"/>
    <w:rsid w:val="00ED4A6F"/>
    <w:rsid w:val="00EF3A3A"/>
    <w:rsid w:val="00F628D6"/>
    <w:rsid w:val="00F67051"/>
    <w:rsid w:val="00FA5E88"/>
    <w:rsid w:val="00FD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7E"/>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FD5C7E"/>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D5C7E"/>
    <w:rPr>
      <w:sz w:val="36"/>
      <w:szCs w:val="52"/>
    </w:rPr>
  </w:style>
  <w:style w:type="paragraph" w:customStyle="1" w:styleId="Cover3-Haknesset">
    <w:name w:val="Cover 3-Haknesset"/>
    <w:basedOn w:val="Cover1-Reshumot"/>
    <w:rsid w:val="00FD5C7E"/>
    <w:rPr>
      <w:b/>
      <w:bCs/>
      <w:spacing w:val="60"/>
    </w:rPr>
  </w:style>
  <w:style w:type="paragraph" w:customStyle="1" w:styleId="Cover4-Date">
    <w:name w:val="Cover 4-Date"/>
    <w:basedOn w:val="a"/>
    <w:rsid w:val="00FD5C7E"/>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FD5C7E"/>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FD5C7E"/>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FD5C7E"/>
    <w:pPr>
      <w:spacing w:before="120" w:after="120"/>
    </w:pPr>
    <w:rPr>
      <w:color w:val="FF0000"/>
      <w:w w:val="80"/>
    </w:rPr>
  </w:style>
  <w:style w:type="paragraph" w:styleId="a3">
    <w:name w:val="endnote text"/>
    <w:basedOn w:val="a"/>
    <w:semiHidden/>
    <w:rsid w:val="00FD5C7E"/>
    <w:pPr>
      <w:ind w:left="227" w:hanging="227"/>
    </w:pPr>
    <w:rPr>
      <w:sz w:val="14"/>
      <w:szCs w:val="22"/>
    </w:rPr>
  </w:style>
  <w:style w:type="paragraph" w:customStyle="1" w:styleId="TableText">
    <w:name w:val="Table Text"/>
    <w:basedOn w:val="a"/>
    <w:rsid w:val="00FD5C7E"/>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FD5C7E"/>
  </w:style>
  <w:style w:type="paragraph" w:customStyle="1" w:styleId="TableBlock">
    <w:name w:val="Table Block"/>
    <w:basedOn w:val="TableText"/>
    <w:rsid w:val="00FD5C7E"/>
    <w:pPr>
      <w:ind w:right="0"/>
      <w:jc w:val="both"/>
    </w:pPr>
  </w:style>
  <w:style w:type="paragraph" w:customStyle="1" w:styleId="TableHead">
    <w:name w:val="Table Head"/>
    <w:basedOn w:val="TableText"/>
    <w:rsid w:val="00FD5C7E"/>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FD5C7E"/>
  </w:style>
  <w:style w:type="paragraph" w:customStyle="1" w:styleId="Hesber">
    <w:name w:val="Hesber"/>
    <w:basedOn w:val="a"/>
    <w:rsid w:val="00FD5C7E"/>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FD5C7E"/>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FD5C7E"/>
    <w:rPr>
      <w:vertAlign w:val="superscript"/>
    </w:rPr>
  </w:style>
  <w:style w:type="paragraph" w:customStyle="1" w:styleId="HesberHeading">
    <w:name w:val="Hesber Heading"/>
    <w:basedOn w:val="Hesber"/>
    <w:rsid w:val="00FD5C7E"/>
    <w:pPr>
      <w:tabs>
        <w:tab w:val="left" w:pos="624"/>
        <w:tab w:val="left" w:pos="1247"/>
      </w:tabs>
      <w:ind w:firstLine="0"/>
    </w:pPr>
    <w:rPr>
      <w:b/>
      <w:bCs/>
    </w:rPr>
  </w:style>
  <w:style w:type="paragraph" w:customStyle="1" w:styleId="HesberWriters">
    <w:name w:val="Hesber Writers"/>
    <w:basedOn w:val="Hesber"/>
    <w:rsid w:val="00FD5C7E"/>
    <w:pPr>
      <w:spacing w:before="120" w:after="6000"/>
      <w:ind w:left="1418" w:firstLine="0"/>
      <w:jc w:val="right"/>
    </w:pPr>
    <w:rPr>
      <w:b/>
      <w:bCs/>
    </w:rPr>
  </w:style>
  <w:style w:type="paragraph" w:customStyle="1" w:styleId="Hesber1st">
    <w:name w:val="Hesber 1st"/>
    <w:basedOn w:val="Hesber"/>
    <w:rsid w:val="00FD5C7E"/>
    <w:pPr>
      <w:tabs>
        <w:tab w:val="left" w:pos="680"/>
        <w:tab w:val="left" w:pos="1020"/>
      </w:tabs>
      <w:ind w:firstLine="0"/>
    </w:pPr>
  </w:style>
  <w:style w:type="character" w:styleId="a7">
    <w:name w:val="endnote reference"/>
    <w:basedOn w:val="a0"/>
    <w:semiHidden/>
    <w:rsid w:val="00FD5C7E"/>
    <w:rPr>
      <w:vertAlign w:val="superscript"/>
    </w:rPr>
  </w:style>
  <w:style w:type="paragraph" w:customStyle="1" w:styleId="TableBlockOutdent">
    <w:name w:val="Table BlockOutdent"/>
    <w:basedOn w:val="TableBlock"/>
    <w:rsid w:val="00FD5C7E"/>
    <w:pPr>
      <w:ind w:left="624" w:hanging="624"/>
    </w:pPr>
  </w:style>
  <w:style w:type="paragraph" w:styleId="a8">
    <w:name w:val="header"/>
    <w:basedOn w:val="a"/>
    <w:rsid w:val="00FD5C7E"/>
    <w:pPr>
      <w:tabs>
        <w:tab w:val="center" w:pos="4153"/>
        <w:tab w:val="right" w:pos="8306"/>
      </w:tabs>
    </w:pPr>
  </w:style>
  <w:style w:type="paragraph" w:styleId="a9">
    <w:name w:val="footer"/>
    <w:basedOn w:val="a"/>
    <w:rsid w:val="00FD5C7E"/>
    <w:pPr>
      <w:tabs>
        <w:tab w:val="center" w:pos="4153"/>
        <w:tab w:val="right" w:pos="8306"/>
      </w:tabs>
    </w:pPr>
  </w:style>
  <w:style w:type="paragraph" w:customStyle="1" w:styleId="HeadDivreiHesber">
    <w:name w:val="Head DivreiHesber"/>
    <w:basedOn w:val="a"/>
    <w:rsid w:val="00FD5C7E"/>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FD5C7E"/>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FD5C7E"/>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2E728B"/>
    <w:rPr>
      <w:rFonts w:ascii="Arial" w:eastAsia="Arial Unicode MS" w:hAnsi="Arial" w:cs="David"/>
      <w:snapToGrid w:val="0"/>
      <w:color w:val="000000"/>
      <w:sz w:val="14"/>
      <w:lang w:eastAsia="ja-JP"/>
    </w:rPr>
  </w:style>
  <w:style w:type="character" w:styleId="ae">
    <w:name w:val="annotation reference"/>
    <w:basedOn w:val="a0"/>
    <w:semiHidden/>
    <w:unhideWhenUsed/>
    <w:rsid w:val="009832A4"/>
    <w:rPr>
      <w:sz w:val="16"/>
      <w:szCs w:val="16"/>
    </w:rPr>
  </w:style>
  <w:style w:type="paragraph" w:styleId="af">
    <w:name w:val="annotation text"/>
    <w:basedOn w:val="a"/>
    <w:link w:val="af0"/>
    <w:semiHidden/>
    <w:unhideWhenUsed/>
    <w:rsid w:val="009832A4"/>
    <w:pPr>
      <w:spacing w:line="240" w:lineRule="auto"/>
    </w:pPr>
    <w:rPr>
      <w:sz w:val="20"/>
      <w:szCs w:val="20"/>
    </w:rPr>
  </w:style>
  <w:style w:type="character" w:customStyle="1" w:styleId="af0">
    <w:name w:val="טקסט הערה תו"/>
    <w:basedOn w:val="a0"/>
    <w:link w:val="af"/>
    <w:semiHidden/>
    <w:rsid w:val="009832A4"/>
    <w:rPr>
      <w:rFonts w:ascii="Hadasa Roso SL" w:hAnsi="Hadasa Roso SL" w:cs="Hadasa Roso SL"/>
      <w:color w:val="000000"/>
      <w:spacing w:val="1"/>
      <w:lang w:eastAsia="ja-JP"/>
    </w:rPr>
  </w:style>
  <w:style w:type="paragraph" w:styleId="af1">
    <w:name w:val="annotation subject"/>
    <w:basedOn w:val="af"/>
    <w:next w:val="af"/>
    <w:link w:val="af2"/>
    <w:semiHidden/>
    <w:unhideWhenUsed/>
    <w:rsid w:val="009832A4"/>
    <w:rPr>
      <w:b/>
      <w:bCs/>
    </w:rPr>
  </w:style>
  <w:style w:type="character" w:customStyle="1" w:styleId="af2">
    <w:name w:val="נושא הערה תו"/>
    <w:basedOn w:val="af0"/>
    <w:link w:val="af1"/>
    <w:semiHidden/>
    <w:rsid w:val="009832A4"/>
    <w:rPr>
      <w:rFonts w:ascii="Hadasa Roso SL" w:hAnsi="Hadasa Roso SL" w:cs="Hadasa Roso SL"/>
      <w:b/>
      <w:bCs/>
      <w:color w:val="000000"/>
      <w:spacing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7E"/>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FD5C7E"/>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D5C7E"/>
    <w:rPr>
      <w:sz w:val="36"/>
      <w:szCs w:val="52"/>
    </w:rPr>
  </w:style>
  <w:style w:type="paragraph" w:customStyle="1" w:styleId="Cover3-Haknesset">
    <w:name w:val="Cover 3-Haknesset"/>
    <w:basedOn w:val="Cover1-Reshumot"/>
    <w:rsid w:val="00FD5C7E"/>
    <w:rPr>
      <w:b/>
      <w:bCs/>
      <w:spacing w:val="60"/>
    </w:rPr>
  </w:style>
  <w:style w:type="paragraph" w:customStyle="1" w:styleId="Cover4-Date">
    <w:name w:val="Cover 4-Date"/>
    <w:basedOn w:val="a"/>
    <w:rsid w:val="00FD5C7E"/>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FD5C7E"/>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FD5C7E"/>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FD5C7E"/>
    <w:pPr>
      <w:spacing w:before="120" w:after="120"/>
    </w:pPr>
    <w:rPr>
      <w:color w:val="FF0000"/>
      <w:w w:val="80"/>
    </w:rPr>
  </w:style>
  <w:style w:type="paragraph" w:styleId="a3">
    <w:name w:val="endnote text"/>
    <w:basedOn w:val="a"/>
    <w:semiHidden/>
    <w:rsid w:val="00FD5C7E"/>
    <w:pPr>
      <w:ind w:left="227" w:hanging="227"/>
    </w:pPr>
    <w:rPr>
      <w:sz w:val="14"/>
      <w:szCs w:val="22"/>
    </w:rPr>
  </w:style>
  <w:style w:type="paragraph" w:customStyle="1" w:styleId="TableText">
    <w:name w:val="Table Text"/>
    <w:basedOn w:val="a"/>
    <w:rsid w:val="00FD5C7E"/>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FD5C7E"/>
  </w:style>
  <w:style w:type="paragraph" w:customStyle="1" w:styleId="TableBlock">
    <w:name w:val="Table Block"/>
    <w:basedOn w:val="TableText"/>
    <w:rsid w:val="00FD5C7E"/>
    <w:pPr>
      <w:ind w:right="0"/>
      <w:jc w:val="both"/>
    </w:pPr>
  </w:style>
  <w:style w:type="paragraph" w:customStyle="1" w:styleId="TableHead">
    <w:name w:val="Table Head"/>
    <w:basedOn w:val="TableText"/>
    <w:rsid w:val="00FD5C7E"/>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FD5C7E"/>
  </w:style>
  <w:style w:type="paragraph" w:customStyle="1" w:styleId="Hesber">
    <w:name w:val="Hesber"/>
    <w:basedOn w:val="a"/>
    <w:rsid w:val="00FD5C7E"/>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FD5C7E"/>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FD5C7E"/>
    <w:rPr>
      <w:vertAlign w:val="superscript"/>
    </w:rPr>
  </w:style>
  <w:style w:type="paragraph" w:customStyle="1" w:styleId="HesberHeading">
    <w:name w:val="Hesber Heading"/>
    <w:basedOn w:val="Hesber"/>
    <w:rsid w:val="00FD5C7E"/>
    <w:pPr>
      <w:tabs>
        <w:tab w:val="left" w:pos="624"/>
        <w:tab w:val="left" w:pos="1247"/>
      </w:tabs>
      <w:ind w:firstLine="0"/>
    </w:pPr>
    <w:rPr>
      <w:b/>
      <w:bCs/>
    </w:rPr>
  </w:style>
  <w:style w:type="paragraph" w:customStyle="1" w:styleId="HesberWriters">
    <w:name w:val="Hesber Writers"/>
    <w:basedOn w:val="Hesber"/>
    <w:rsid w:val="00FD5C7E"/>
    <w:pPr>
      <w:spacing w:before="120" w:after="6000"/>
      <w:ind w:left="1418" w:firstLine="0"/>
      <w:jc w:val="right"/>
    </w:pPr>
    <w:rPr>
      <w:b/>
      <w:bCs/>
    </w:rPr>
  </w:style>
  <w:style w:type="paragraph" w:customStyle="1" w:styleId="Hesber1st">
    <w:name w:val="Hesber 1st"/>
    <w:basedOn w:val="Hesber"/>
    <w:rsid w:val="00FD5C7E"/>
    <w:pPr>
      <w:tabs>
        <w:tab w:val="left" w:pos="680"/>
        <w:tab w:val="left" w:pos="1020"/>
      </w:tabs>
      <w:ind w:firstLine="0"/>
    </w:pPr>
  </w:style>
  <w:style w:type="character" w:styleId="a7">
    <w:name w:val="endnote reference"/>
    <w:basedOn w:val="a0"/>
    <w:semiHidden/>
    <w:rsid w:val="00FD5C7E"/>
    <w:rPr>
      <w:vertAlign w:val="superscript"/>
    </w:rPr>
  </w:style>
  <w:style w:type="paragraph" w:customStyle="1" w:styleId="TableBlockOutdent">
    <w:name w:val="Table BlockOutdent"/>
    <w:basedOn w:val="TableBlock"/>
    <w:rsid w:val="00FD5C7E"/>
    <w:pPr>
      <w:ind w:left="624" w:hanging="624"/>
    </w:pPr>
  </w:style>
  <w:style w:type="paragraph" w:styleId="a8">
    <w:name w:val="header"/>
    <w:basedOn w:val="a"/>
    <w:rsid w:val="00FD5C7E"/>
    <w:pPr>
      <w:tabs>
        <w:tab w:val="center" w:pos="4153"/>
        <w:tab w:val="right" w:pos="8306"/>
      </w:tabs>
    </w:pPr>
  </w:style>
  <w:style w:type="paragraph" w:styleId="a9">
    <w:name w:val="footer"/>
    <w:basedOn w:val="a"/>
    <w:rsid w:val="00FD5C7E"/>
    <w:pPr>
      <w:tabs>
        <w:tab w:val="center" w:pos="4153"/>
        <w:tab w:val="right" w:pos="8306"/>
      </w:tabs>
    </w:pPr>
  </w:style>
  <w:style w:type="paragraph" w:customStyle="1" w:styleId="HeadDivreiHesber">
    <w:name w:val="Head DivreiHesber"/>
    <w:basedOn w:val="a"/>
    <w:rsid w:val="00FD5C7E"/>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FD5C7E"/>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FD5C7E"/>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2E728B"/>
    <w:rPr>
      <w:rFonts w:ascii="Arial" w:eastAsia="Arial Unicode MS" w:hAnsi="Arial" w:cs="David"/>
      <w:snapToGrid w:val="0"/>
      <w:color w:val="000000"/>
      <w:sz w:val="14"/>
      <w:lang w:eastAsia="ja-JP"/>
    </w:rPr>
  </w:style>
  <w:style w:type="character" w:styleId="ae">
    <w:name w:val="annotation reference"/>
    <w:basedOn w:val="a0"/>
    <w:semiHidden/>
    <w:unhideWhenUsed/>
    <w:rsid w:val="009832A4"/>
    <w:rPr>
      <w:sz w:val="16"/>
      <w:szCs w:val="16"/>
    </w:rPr>
  </w:style>
  <w:style w:type="paragraph" w:styleId="af">
    <w:name w:val="annotation text"/>
    <w:basedOn w:val="a"/>
    <w:link w:val="af0"/>
    <w:semiHidden/>
    <w:unhideWhenUsed/>
    <w:rsid w:val="009832A4"/>
    <w:pPr>
      <w:spacing w:line="240" w:lineRule="auto"/>
    </w:pPr>
    <w:rPr>
      <w:sz w:val="20"/>
      <w:szCs w:val="20"/>
    </w:rPr>
  </w:style>
  <w:style w:type="character" w:customStyle="1" w:styleId="af0">
    <w:name w:val="טקסט הערה תו"/>
    <w:basedOn w:val="a0"/>
    <w:link w:val="af"/>
    <w:semiHidden/>
    <w:rsid w:val="009832A4"/>
    <w:rPr>
      <w:rFonts w:ascii="Hadasa Roso SL" w:hAnsi="Hadasa Roso SL" w:cs="Hadasa Roso SL"/>
      <w:color w:val="000000"/>
      <w:spacing w:val="1"/>
      <w:lang w:eastAsia="ja-JP"/>
    </w:rPr>
  </w:style>
  <w:style w:type="paragraph" w:styleId="af1">
    <w:name w:val="annotation subject"/>
    <w:basedOn w:val="af"/>
    <w:next w:val="af"/>
    <w:link w:val="af2"/>
    <w:semiHidden/>
    <w:unhideWhenUsed/>
    <w:rsid w:val="009832A4"/>
    <w:rPr>
      <w:b/>
      <w:bCs/>
    </w:rPr>
  </w:style>
  <w:style w:type="character" w:customStyle="1" w:styleId="af2">
    <w:name w:val="נושא הערה תו"/>
    <w:basedOn w:val="af0"/>
    <w:link w:val="af1"/>
    <w:semiHidden/>
    <w:rsid w:val="009832A4"/>
    <w:rPr>
      <w:rFonts w:ascii="Hadasa Roso SL" w:hAnsi="Hadasa Roso SL" w:cs="Hadasa Roso SL"/>
      <w:b/>
      <w:bCs/>
      <w:color w:val="000000"/>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word/law15/memshala-27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46CA21DD-4389-426F-BDAC-0843D42C4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C2671B-BC7B-4C03-B5ED-FB2DFA06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1083</Words>
  <Characters>5418</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תהל טהר לב</cp:lastModifiedBy>
  <cp:revision>10</cp:revision>
  <cp:lastPrinted>2013-07-04T08:25:00Z</cp:lastPrinted>
  <dcterms:created xsi:type="dcterms:W3CDTF">2015-03-26T08:06:00Z</dcterms:created>
  <dcterms:modified xsi:type="dcterms:W3CDTF">2015-04-30T06:51:00Z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562513</vt:r8>
  </property>
</Properties>
</file>