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E1A" w:rsidRPr="005B2E1A" w:rsidRDefault="005B2E1A" w:rsidP="005B2E1A">
      <w:pPr>
        <w:pStyle w:val="TableBlock"/>
        <w:jc w:val="right"/>
        <w:rPr>
          <w:b/>
          <w:bCs/>
          <w:u w:val="single"/>
          <w:rtl/>
        </w:rPr>
      </w:pPr>
      <w:r w:rsidRPr="005B2E1A">
        <w:rPr>
          <w:rFonts w:hint="cs"/>
          <w:b/>
          <w:bCs/>
          <w:u w:val="single"/>
          <w:rtl/>
        </w:rPr>
        <w:t>הצעת ח"כ יואב קיש</w:t>
      </w:r>
    </w:p>
    <w:p w:rsidR="005B2E1A" w:rsidRDefault="005B2E1A" w:rsidP="003E62CC">
      <w:pPr>
        <w:pStyle w:val="TableBlock"/>
        <w:jc w:val="center"/>
        <w:rPr>
          <w:b/>
          <w:bCs/>
          <w:rtl/>
        </w:rPr>
      </w:pPr>
    </w:p>
    <w:p w:rsidR="005A4C3C" w:rsidRPr="005B2E1A" w:rsidRDefault="003E62CC" w:rsidP="003E62CC">
      <w:pPr>
        <w:pStyle w:val="TableBlock"/>
        <w:jc w:val="center"/>
        <w:rPr>
          <w:b/>
          <w:bCs/>
          <w:rtl/>
        </w:rPr>
      </w:pPr>
      <w:bookmarkStart w:id="0" w:name="_GoBack"/>
      <w:bookmarkEnd w:id="0"/>
      <w:r w:rsidRPr="005B2E1A">
        <w:rPr>
          <w:rFonts w:hint="cs"/>
          <w:b/>
          <w:bCs/>
          <w:rtl/>
        </w:rPr>
        <w:t>הצעה ל</w:t>
      </w:r>
      <w:r w:rsidR="005A4C3C" w:rsidRPr="005B2E1A">
        <w:rPr>
          <w:rFonts w:hint="cs"/>
          <w:b/>
          <w:bCs/>
          <w:rtl/>
        </w:rPr>
        <w:t xml:space="preserve">תיקון </w:t>
      </w:r>
      <w:r w:rsidRPr="005B2E1A">
        <w:rPr>
          <w:rFonts w:hint="cs"/>
          <w:b/>
          <w:bCs/>
          <w:rtl/>
        </w:rPr>
        <w:t>ב</w:t>
      </w:r>
      <w:r w:rsidR="005A4C3C" w:rsidRPr="005B2E1A">
        <w:rPr>
          <w:rFonts w:hint="cs"/>
          <w:b/>
          <w:bCs/>
          <w:rtl/>
        </w:rPr>
        <w:t xml:space="preserve">ה"ח זכות יוצרים (תיקון מס'  </w:t>
      </w:r>
      <w:r w:rsidRPr="005B2E1A">
        <w:rPr>
          <w:rFonts w:hint="cs"/>
          <w:b/>
          <w:bCs/>
          <w:rtl/>
        </w:rPr>
        <w:t>5</w:t>
      </w:r>
      <w:r w:rsidR="005A4C3C" w:rsidRPr="005B2E1A">
        <w:rPr>
          <w:rFonts w:hint="cs"/>
          <w:b/>
          <w:bCs/>
          <w:rtl/>
        </w:rPr>
        <w:t>), התשע"ח -2017</w:t>
      </w:r>
    </w:p>
    <w:p w:rsidR="003E62CC" w:rsidRDefault="003E62CC" w:rsidP="003E62CC">
      <w:pPr>
        <w:rPr>
          <w:rtl/>
        </w:rPr>
      </w:pPr>
    </w:p>
    <w:p w:rsidR="003E62CC" w:rsidRDefault="003E62CC" w:rsidP="00B67847">
      <w:pPr>
        <w:pStyle w:val="TableBlock"/>
        <w:ind w:left="-199"/>
        <w:rPr>
          <w:rtl/>
        </w:rPr>
      </w:pPr>
    </w:p>
    <w:p w:rsidR="005A4C3C" w:rsidRDefault="005A4C3C">
      <w:pPr>
        <w:rPr>
          <w:rtl/>
        </w:rPr>
      </w:pPr>
    </w:p>
    <w:tbl>
      <w:tblPr>
        <w:bidiVisual/>
        <w:tblW w:w="9638" w:type="dxa"/>
        <w:tblLayout w:type="fixed"/>
        <w:tblCellMar>
          <w:top w:w="57" w:type="dxa"/>
          <w:left w:w="0" w:type="dxa"/>
          <w:bottom w:w="57" w:type="dxa"/>
          <w:right w:w="0" w:type="dxa"/>
        </w:tblCellMar>
        <w:tblLook w:val="0000" w:firstRow="0" w:lastRow="0" w:firstColumn="0" w:lastColumn="0" w:noHBand="0" w:noVBand="0"/>
      </w:tblPr>
      <w:tblGrid>
        <w:gridCol w:w="1869"/>
        <w:gridCol w:w="624"/>
        <w:gridCol w:w="2496"/>
        <w:gridCol w:w="624"/>
        <w:gridCol w:w="4025"/>
      </w:tblGrid>
      <w:tr w:rsidR="005A4C3C" w:rsidRPr="00F90161" w:rsidTr="00642791">
        <w:trPr>
          <w:cantSplit/>
        </w:trPr>
        <w:tc>
          <w:tcPr>
            <w:tcW w:w="1869" w:type="dxa"/>
            <w:shd w:val="clear" w:color="auto" w:fill="auto"/>
            <w:tcMar>
              <w:top w:w="91" w:type="dxa"/>
              <w:left w:w="0" w:type="dxa"/>
              <w:bottom w:w="91" w:type="dxa"/>
              <w:right w:w="0" w:type="dxa"/>
            </w:tcMar>
          </w:tcPr>
          <w:p w:rsidR="005A4C3C" w:rsidRPr="00A5511B" w:rsidRDefault="005A4C3C" w:rsidP="005A4C3C">
            <w:pPr>
              <w:pStyle w:val="TableSideHeading"/>
              <w:ind w:right="0"/>
              <w:rPr>
                <w:rtl/>
              </w:rPr>
            </w:pPr>
            <w:r w:rsidRPr="00A5511B">
              <w:rPr>
                <w:rtl/>
              </w:rPr>
              <w:t xml:space="preserve">הוספת סעיף </w:t>
            </w:r>
            <w:r>
              <w:rPr>
                <w:rFonts w:hint="cs"/>
                <w:rtl/>
              </w:rPr>
              <w:t>23א</w:t>
            </w:r>
          </w:p>
        </w:tc>
        <w:tc>
          <w:tcPr>
            <w:tcW w:w="624" w:type="dxa"/>
            <w:shd w:val="clear" w:color="auto" w:fill="auto"/>
            <w:tcMar>
              <w:top w:w="91" w:type="dxa"/>
              <w:left w:w="0" w:type="dxa"/>
              <w:bottom w:w="91" w:type="dxa"/>
              <w:right w:w="0" w:type="dxa"/>
            </w:tcMar>
          </w:tcPr>
          <w:p w:rsidR="005A4C3C" w:rsidRPr="00A5511B" w:rsidRDefault="005A4C3C" w:rsidP="00BA5B36">
            <w:pPr>
              <w:pStyle w:val="TableText"/>
              <w:ind w:right="0"/>
              <w:jc w:val="both"/>
              <w:rPr>
                <w:rtl/>
              </w:rPr>
            </w:pPr>
            <w:r w:rsidRPr="00A5511B">
              <w:rPr>
                <w:rtl/>
              </w:rPr>
              <w:t>1.</w:t>
            </w:r>
          </w:p>
        </w:tc>
        <w:tc>
          <w:tcPr>
            <w:tcW w:w="7145" w:type="dxa"/>
            <w:gridSpan w:val="3"/>
            <w:shd w:val="clear" w:color="auto" w:fill="auto"/>
            <w:tcMar>
              <w:top w:w="91" w:type="dxa"/>
              <w:left w:w="0" w:type="dxa"/>
              <w:bottom w:w="91" w:type="dxa"/>
              <w:right w:w="0" w:type="dxa"/>
            </w:tcMar>
          </w:tcPr>
          <w:p w:rsidR="005A4C3C" w:rsidRPr="00A5511B" w:rsidRDefault="005A4C3C" w:rsidP="00C27F33">
            <w:pPr>
              <w:pStyle w:val="TableBlock"/>
            </w:pPr>
            <w:r w:rsidRPr="00A5511B">
              <w:rPr>
                <w:rtl/>
              </w:rPr>
              <w:t xml:space="preserve">בחוק </w:t>
            </w:r>
            <w:r>
              <w:rPr>
                <w:rFonts w:hint="cs"/>
                <w:rtl/>
              </w:rPr>
              <w:t>זכות יוצרים</w:t>
            </w:r>
            <w:r w:rsidRPr="00A5511B">
              <w:rPr>
                <w:rtl/>
              </w:rPr>
              <w:t>, התש</w:t>
            </w:r>
            <w:r>
              <w:rPr>
                <w:rFonts w:hint="cs"/>
                <w:rtl/>
              </w:rPr>
              <w:t>ס</w:t>
            </w:r>
            <w:r w:rsidRPr="00A5511B">
              <w:rPr>
                <w:rtl/>
              </w:rPr>
              <w:t>"</w:t>
            </w:r>
            <w:r>
              <w:rPr>
                <w:rFonts w:hint="cs"/>
                <w:rtl/>
              </w:rPr>
              <w:t>ח</w:t>
            </w:r>
            <w:r w:rsidRPr="00A5511B">
              <w:rPr>
                <w:rtl/>
              </w:rPr>
              <w:t>–</w:t>
            </w:r>
            <w:r>
              <w:rPr>
                <w:rFonts w:hint="cs"/>
                <w:rtl/>
              </w:rPr>
              <w:t>2007</w:t>
            </w:r>
            <w:r w:rsidR="00642791">
              <w:rPr>
                <w:rFonts w:hint="cs"/>
                <w:rtl/>
              </w:rPr>
              <w:t xml:space="preserve"> (להלן </w:t>
            </w:r>
            <w:r w:rsidR="00642791">
              <w:rPr>
                <w:rFonts w:hint="eastAsia"/>
              </w:rPr>
              <w:t>–</w:t>
            </w:r>
            <w:r w:rsidR="00642791">
              <w:rPr>
                <w:rFonts w:hint="eastAsia"/>
              </w:rPr>
              <w:t xml:space="preserve"> </w:t>
            </w:r>
            <w:r w:rsidR="00642791">
              <w:rPr>
                <w:rFonts w:hint="cs"/>
                <w:rtl/>
              </w:rPr>
              <w:t xml:space="preserve"> החוק העיק</w:t>
            </w:r>
            <w:r w:rsidR="00C27F33">
              <w:rPr>
                <w:rFonts w:hint="cs"/>
                <w:rtl/>
              </w:rPr>
              <w:t xml:space="preserve">רי, </w:t>
            </w:r>
            <w:r w:rsidR="00642791" w:rsidRPr="00A5511B">
              <w:rPr>
                <w:rtl/>
              </w:rPr>
              <w:t xml:space="preserve">אחרי סעיף </w:t>
            </w:r>
            <w:r w:rsidR="00642791">
              <w:rPr>
                <w:rFonts w:hint="cs"/>
                <w:rtl/>
              </w:rPr>
              <w:t>23</w:t>
            </w:r>
            <w:r w:rsidR="00642791" w:rsidRPr="00A5511B">
              <w:rPr>
                <w:rtl/>
              </w:rPr>
              <w:t xml:space="preserve"> יבוא:</w:t>
            </w:r>
          </w:p>
        </w:tc>
      </w:tr>
      <w:tr w:rsidR="00C27F33" w:rsidTr="00F90F4A">
        <w:tblPrEx>
          <w:tblLook w:val="01E0" w:firstRow="1" w:lastRow="1" w:firstColumn="1" w:lastColumn="1" w:noHBand="0" w:noVBand="0"/>
        </w:tblPrEx>
        <w:trPr>
          <w:cantSplit/>
          <w:trHeight w:val="60"/>
        </w:trPr>
        <w:tc>
          <w:tcPr>
            <w:tcW w:w="1869" w:type="dxa"/>
          </w:tcPr>
          <w:p w:rsidR="00C27F33" w:rsidRDefault="00C27F33" w:rsidP="00642791">
            <w:pPr>
              <w:pStyle w:val="TableSideHeading"/>
            </w:pPr>
          </w:p>
        </w:tc>
        <w:tc>
          <w:tcPr>
            <w:tcW w:w="624" w:type="dxa"/>
          </w:tcPr>
          <w:p w:rsidR="00C27F33" w:rsidRDefault="00C27F33" w:rsidP="00642791">
            <w:pPr>
              <w:pStyle w:val="TableText"/>
            </w:pPr>
          </w:p>
        </w:tc>
        <w:tc>
          <w:tcPr>
            <w:tcW w:w="2496" w:type="dxa"/>
          </w:tcPr>
          <w:p w:rsidR="00C27F33" w:rsidRPr="00A5511B" w:rsidRDefault="00C27F33" w:rsidP="00642791">
            <w:pPr>
              <w:pStyle w:val="TableInnerSideHeading"/>
              <w:ind w:right="0"/>
              <w:rPr>
                <w:rtl/>
              </w:rPr>
            </w:pPr>
            <w:r w:rsidRPr="00A5511B">
              <w:rPr>
                <w:rtl/>
              </w:rPr>
              <w:t>"</w:t>
            </w:r>
            <w:r>
              <w:rPr>
                <w:rFonts w:hint="cs"/>
                <w:rtl/>
              </w:rPr>
              <w:t>שימוש בצילום על ידי המצולם</w:t>
            </w:r>
          </w:p>
        </w:tc>
        <w:tc>
          <w:tcPr>
            <w:tcW w:w="624" w:type="dxa"/>
          </w:tcPr>
          <w:p w:rsidR="00C27F33" w:rsidRPr="00A5511B" w:rsidRDefault="00C27F33" w:rsidP="00642791">
            <w:pPr>
              <w:pStyle w:val="TableText"/>
              <w:ind w:right="0"/>
              <w:jc w:val="both"/>
              <w:rPr>
                <w:rtl/>
              </w:rPr>
            </w:pPr>
            <w:r>
              <w:rPr>
                <w:rFonts w:hint="cs"/>
                <w:rtl/>
              </w:rPr>
              <w:t>23</w:t>
            </w:r>
            <w:r w:rsidRPr="00A5511B">
              <w:rPr>
                <w:rtl/>
              </w:rPr>
              <w:t>א.</w:t>
            </w:r>
          </w:p>
        </w:tc>
        <w:tc>
          <w:tcPr>
            <w:tcW w:w="4025" w:type="dxa"/>
          </w:tcPr>
          <w:p w:rsidR="00C27F33" w:rsidRPr="005A4C3C" w:rsidRDefault="00C27F33" w:rsidP="00642791">
            <w:pPr>
              <w:pStyle w:val="TableBlock"/>
              <w:rPr>
                <w:rtl/>
              </w:rPr>
            </w:pPr>
            <w:r>
              <w:rPr>
                <w:rtl/>
              </w:rPr>
              <w:t>שימוש בצילום שצולם ברשות הרבים</w:t>
            </w:r>
            <w:r>
              <w:rPr>
                <w:rFonts w:hint="cs"/>
                <w:rtl/>
              </w:rPr>
              <w:t>,</w:t>
            </w:r>
            <w:r>
              <w:rPr>
                <w:rtl/>
              </w:rPr>
              <w:t xml:space="preserve"> הכולל דיוקנו של אדם, </w:t>
            </w:r>
            <w:r>
              <w:rPr>
                <w:rFonts w:hint="cs"/>
                <w:rtl/>
              </w:rPr>
              <w:t xml:space="preserve">מותר אם השימוש נעשה </w:t>
            </w:r>
            <w:r>
              <w:rPr>
                <w:rtl/>
              </w:rPr>
              <w:t xml:space="preserve">על ידי האדם המצולם, במטרה לעודד קשר </w:t>
            </w:r>
            <w:r>
              <w:rPr>
                <w:rFonts w:hint="cs"/>
                <w:rtl/>
              </w:rPr>
              <w:t>בינו</w:t>
            </w:r>
            <w:r>
              <w:rPr>
                <w:rtl/>
              </w:rPr>
              <w:t xml:space="preserve"> לבין אחרים</w:t>
            </w:r>
            <w:r>
              <w:rPr>
                <w:rFonts w:hint="cs"/>
                <w:rtl/>
              </w:rPr>
              <w:t>,</w:t>
            </w:r>
            <w:r>
              <w:rPr>
                <w:rtl/>
              </w:rPr>
              <w:t xml:space="preserve"> בהיקף המוצדק בשים לב למטרה האמורה ושלא לשם מסחר בצילום</w:t>
            </w:r>
            <w:r>
              <w:rPr>
                <w:rFonts w:hint="cs"/>
                <w:rtl/>
              </w:rPr>
              <w:t>, ובלבד שאם הצילום פורסם ברשת האינטרנט, ובעל זכות היוצרים בצילום דרש מהמצולם להסיר את הצילום, המצולם הסיר את הצילום בתוך שבעה ימים ממועד קבלת הדרישה</w:t>
            </w:r>
            <w:r>
              <w:rPr>
                <w:rtl/>
              </w:rPr>
              <w:t>.</w:t>
            </w:r>
            <w:r>
              <w:rPr>
                <w:rFonts w:hint="cs"/>
                <w:rtl/>
              </w:rPr>
              <w:t>"</w:t>
            </w:r>
            <w:r>
              <w:rPr>
                <w:rtl/>
              </w:rPr>
              <w:t xml:space="preserve"> </w:t>
            </w:r>
            <w:r w:rsidRPr="005A4C3C">
              <w:rPr>
                <w:rtl/>
              </w:rPr>
              <w:t xml:space="preserve"> </w:t>
            </w:r>
          </w:p>
        </w:tc>
      </w:tr>
      <w:tr w:rsidR="00C27F33" w:rsidTr="00160484">
        <w:tblPrEx>
          <w:tblLook w:val="01E0" w:firstRow="1" w:lastRow="1" w:firstColumn="1" w:lastColumn="1" w:noHBand="0" w:noVBand="0"/>
        </w:tblPrEx>
        <w:trPr>
          <w:cantSplit/>
          <w:trHeight w:val="60"/>
        </w:trPr>
        <w:tc>
          <w:tcPr>
            <w:tcW w:w="1869" w:type="dxa"/>
          </w:tcPr>
          <w:p w:rsidR="00C27F33" w:rsidRDefault="00C27F33" w:rsidP="00642791">
            <w:pPr>
              <w:pStyle w:val="TableSideHeading"/>
            </w:pPr>
            <w:r>
              <w:rPr>
                <w:rFonts w:hint="cs"/>
                <w:rtl/>
              </w:rPr>
              <w:t>תיקון סעיף 56</w:t>
            </w:r>
          </w:p>
        </w:tc>
        <w:tc>
          <w:tcPr>
            <w:tcW w:w="624" w:type="dxa"/>
          </w:tcPr>
          <w:p w:rsidR="00C27F33" w:rsidRDefault="00C27F33" w:rsidP="00642791">
            <w:pPr>
              <w:pStyle w:val="TableText"/>
            </w:pPr>
            <w:r>
              <w:rPr>
                <w:rFonts w:hint="cs"/>
                <w:rtl/>
              </w:rPr>
              <w:t>2.</w:t>
            </w:r>
          </w:p>
        </w:tc>
        <w:tc>
          <w:tcPr>
            <w:tcW w:w="7145" w:type="dxa"/>
            <w:gridSpan w:val="3"/>
          </w:tcPr>
          <w:p w:rsidR="00C27F33" w:rsidRDefault="00C27F33" w:rsidP="00642791">
            <w:pPr>
              <w:pStyle w:val="TableBlock"/>
            </w:pPr>
            <w:r>
              <w:rPr>
                <w:rtl/>
              </w:rPr>
              <w:t>בסעיף 56</w:t>
            </w:r>
            <w:r>
              <w:rPr>
                <w:rFonts w:hint="cs"/>
                <w:rtl/>
              </w:rPr>
              <w:t xml:space="preserve"> לחוק העיקרי</w:t>
            </w:r>
            <w:r>
              <w:rPr>
                <w:rtl/>
              </w:rPr>
              <w:t>, אחרי סעיף קטן (א) יבוא:</w:t>
            </w:r>
          </w:p>
        </w:tc>
      </w:tr>
      <w:tr w:rsidR="00C27F33" w:rsidTr="00BD0A12">
        <w:tblPrEx>
          <w:tblLook w:val="01E0" w:firstRow="1" w:lastRow="1" w:firstColumn="1" w:lastColumn="1" w:noHBand="0" w:noVBand="0"/>
        </w:tblPrEx>
        <w:trPr>
          <w:cantSplit/>
          <w:trHeight w:val="60"/>
        </w:trPr>
        <w:tc>
          <w:tcPr>
            <w:tcW w:w="1869" w:type="dxa"/>
          </w:tcPr>
          <w:p w:rsidR="00C27F33" w:rsidRDefault="00C27F33" w:rsidP="00642791">
            <w:pPr>
              <w:pStyle w:val="TableSideHeading"/>
            </w:pPr>
          </w:p>
        </w:tc>
        <w:tc>
          <w:tcPr>
            <w:tcW w:w="624" w:type="dxa"/>
          </w:tcPr>
          <w:p w:rsidR="00C27F33" w:rsidRDefault="00C27F33" w:rsidP="00642791">
            <w:pPr>
              <w:pStyle w:val="TableText"/>
            </w:pPr>
          </w:p>
        </w:tc>
        <w:tc>
          <w:tcPr>
            <w:tcW w:w="7145" w:type="dxa"/>
            <w:gridSpan w:val="3"/>
          </w:tcPr>
          <w:p w:rsidR="00C27F33" w:rsidRDefault="00C27F33" w:rsidP="00C27F33">
            <w:pPr>
              <w:pStyle w:val="TableBlock"/>
            </w:pPr>
            <w:r>
              <w:rPr>
                <w:rFonts w:hint="cs"/>
                <w:rtl/>
              </w:rPr>
              <w:t>"(</w:t>
            </w:r>
            <w:r>
              <w:rPr>
                <w:rtl/>
              </w:rPr>
              <w:t>א1)</w:t>
            </w:r>
            <w:r>
              <w:rPr>
                <w:rtl/>
              </w:rPr>
              <w:tab/>
              <w:t xml:space="preserve"> על אף האמור בסעיף קטן (א), </w:t>
            </w:r>
            <w:r>
              <w:rPr>
                <w:rFonts w:hint="cs"/>
                <w:rtl/>
              </w:rPr>
              <w:t>ה</w:t>
            </w:r>
            <w:r>
              <w:rPr>
                <w:rtl/>
              </w:rPr>
              <w:t>ש</w:t>
            </w:r>
            <w:r>
              <w:rPr>
                <w:rFonts w:hint="cs"/>
                <w:rtl/>
              </w:rPr>
              <w:t>ת</w:t>
            </w:r>
            <w:r>
              <w:rPr>
                <w:rtl/>
              </w:rPr>
              <w:t xml:space="preserve">מש </w:t>
            </w:r>
            <w:r>
              <w:rPr>
                <w:rFonts w:hint="cs"/>
                <w:rtl/>
              </w:rPr>
              <w:t xml:space="preserve">אדם </w:t>
            </w:r>
            <w:r>
              <w:rPr>
                <w:rtl/>
              </w:rPr>
              <w:t>בצילום שצולם ברשות הרבים</w:t>
            </w:r>
            <w:r>
              <w:rPr>
                <w:rFonts w:hint="cs"/>
                <w:rtl/>
              </w:rPr>
              <w:t xml:space="preserve"> והוראות סעיף 23א לא חלות על הצילום,</w:t>
            </w:r>
            <w:r>
              <w:rPr>
                <w:rtl/>
              </w:rPr>
              <w:t xml:space="preserve"> בית המשפט לא יפסוק פיצויים בלא הוכחת נזק אם הפרת זכות היוצרים היתה שלא למטרת רווח ובעל זכות היוצרים מסר למפר הודעה כי הוא הפר את זכות היוצרים שלו ונתן לו פרק זמן סביר להפסיק את ההפרה."</w:t>
            </w:r>
          </w:p>
        </w:tc>
      </w:tr>
    </w:tbl>
    <w:p w:rsidR="005A4C3C" w:rsidRDefault="005A4C3C">
      <w:pPr>
        <w:rPr>
          <w:rtl/>
        </w:rPr>
      </w:pPr>
    </w:p>
    <w:p w:rsidR="005A4C3C" w:rsidRDefault="005A4C3C">
      <w:pPr>
        <w:rPr>
          <w:rtl/>
        </w:rPr>
      </w:pPr>
    </w:p>
    <w:p w:rsidR="005A4C3C" w:rsidRDefault="005A4C3C" w:rsidP="005A4C3C">
      <w:pPr>
        <w:pStyle w:val="TableBlock"/>
        <w:jc w:val="center"/>
        <w:rPr>
          <w:rtl/>
        </w:rPr>
      </w:pPr>
      <w:r>
        <w:rPr>
          <w:rFonts w:hint="cs"/>
          <w:rtl/>
        </w:rPr>
        <w:t>דברי הסבר</w:t>
      </w:r>
    </w:p>
    <w:p w:rsidR="005A4C3C" w:rsidRDefault="005A4C3C" w:rsidP="005A4C3C">
      <w:pPr>
        <w:pStyle w:val="TableBlock"/>
        <w:jc w:val="center"/>
        <w:rPr>
          <w:rtl/>
        </w:rPr>
      </w:pPr>
    </w:p>
    <w:p w:rsidR="005A4C3C" w:rsidRDefault="005A4C3C" w:rsidP="005A4C3C">
      <w:pPr>
        <w:pStyle w:val="TableBlock"/>
        <w:jc w:val="center"/>
        <w:rPr>
          <w:rtl/>
        </w:rPr>
      </w:pPr>
    </w:p>
    <w:p w:rsidR="005A4C3C" w:rsidRDefault="00B0378F" w:rsidP="00B0378F">
      <w:pPr>
        <w:pStyle w:val="TableBlock"/>
        <w:rPr>
          <w:rtl/>
        </w:rPr>
      </w:pPr>
      <w:r>
        <w:rPr>
          <w:rFonts w:hint="cs"/>
          <w:rtl/>
        </w:rPr>
        <w:t xml:space="preserve">חוק זכות יוצרים, </w:t>
      </w:r>
      <w:r>
        <w:rPr>
          <w:rtl/>
        </w:rPr>
        <w:t>התשס"ח-2007</w:t>
      </w:r>
      <w:r>
        <w:rPr>
          <w:rFonts w:hint="cs"/>
          <w:rtl/>
        </w:rPr>
        <w:t xml:space="preserve">, מכיר בכך שיש שימושים מותרים ביצירות מוגנות לפי החוק, </w:t>
      </w:r>
      <w:r w:rsidRPr="00B0378F">
        <w:rPr>
          <w:rtl/>
        </w:rPr>
        <w:t>אף בלא קבלת רשות מבעל זכות היוצרים ובלא תשלום תמורה</w:t>
      </w:r>
      <w:r w:rsidRPr="00B0378F">
        <w:rPr>
          <w:rFonts w:hint="cs"/>
          <w:rtl/>
        </w:rPr>
        <w:t>. כך, פרק ד' לחוק (סעיפי</w:t>
      </w:r>
      <w:r>
        <w:rPr>
          <w:rFonts w:hint="cs"/>
          <w:rtl/>
        </w:rPr>
        <w:t>ם</w:t>
      </w:r>
      <w:r w:rsidRPr="00B0378F">
        <w:rPr>
          <w:rFonts w:hint="cs"/>
          <w:rtl/>
        </w:rPr>
        <w:t xml:space="preserve"> 18 עד 32) מ</w:t>
      </w:r>
      <w:r>
        <w:rPr>
          <w:rFonts w:hint="cs"/>
          <w:rtl/>
        </w:rPr>
        <w:t>פרט</w:t>
      </w:r>
      <w:r w:rsidRPr="00B0378F">
        <w:rPr>
          <w:rFonts w:hint="cs"/>
          <w:rtl/>
        </w:rPr>
        <w:t xml:space="preserve"> את השימושים המותרים,</w:t>
      </w:r>
      <w:r w:rsidRPr="00B0378F">
        <w:rPr>
          <w:rtl/>
        </w:rPr>
        <w:t xml:space="preserve"> בתנאים המפורטים באותם סעיפים ולשם השגת המטרות המפורטות בהם</w:t>
      </w:r>
      <w:r>
        <w:rPr>
          <w:rFonts w:hint="cs"/>
          <w:rtl/>
        </w:rPr>
        <w:t>.</w:t>
      </w:r>
    </w:p>
    <w:p w:rsidR="00B0378F" w:rsidRDefault="00B0378F" w:rsidP="004205DB">
      <w:pPr>
        <w:pStyle w:val="TableBlock"/>
        <w:rPr>
          <w:rtl/>
        </w:rPr>
      </w:pPr>
      <w:r>
        <w:rPr>
          <w:rFonts w:hint="cs"/>
          <w:rtl/>
        </w:rPr>
        <w:lastRenderedPageBreak/>
        <w:t>לאחרונה התפתחה תעשיי</w:t>
      </w:r>
      <w:r w:rsidR="00E01035">
        <w:rPr>
          <w:rFonts w:hint="cs"/>
          <w:rtl/>
        </w:rPr>
        <w:t xml:space="preserve">ה של </w:t>
      </w:r>
      <w:r>
        <w:rPr>
          <w:rFonts w:hint="cs"/>
          <w:rtl/>
        </w:rPr>
        <w:t>תביעות על הפר</w:t>
      </w:r>
      <w:r w:rsidR="00DB6D46">
        <w:rPr>
          <w:rFonts w:hint="cs"/>
          <w:rtl/>
        </w:rPr>
        <w:t xml:space="preserve">ת זכות יוצרים </w:t>
      </w:r>
      <w:r w:rsidR="004205DB">
        <w:rPr>
          <w:rFonts w:hint="cs"/>
          <w:rtl/>
        </w:rPr>
        <w:t xml:space="preserve">נגד אנשים, </w:t>
      </w:r>
      <w:r w:rsidR="00DB6D46">
        <w:rPr>
          <w:rFonts w:hint="cs"/>
          <w:rtl/>
        </w:rPr>
        <w:t xml:space="preserve">בשל שימוש </w:t>
      </w:r>
      <w:r w:rsidR="004205DB">
        <w:rPr>
          <w:rFonts w:hint="cs"/>
          <w:rtl/>
        </w:rPr>
        <w:t>שעשו בצילומים שלהם</w:t>
      </w:r>
      <w:r w:rsidR="00DB6D46">
        <w:rPr>
          <w:rFonts w:hint="cs"/>
          <w:rtl/>
        </w:rPr>
        <w:t xml:space="preserve"> </w:t>
      </w:r>
      <w:r w:rsidR="004205DB">
        <w:rPr>
          <w:rFonts w:hint="cs"/>
          <w:rtl/>
        </w:rPr>
        <w:t>ש</w:t>
      </w:r>
      <w:r w:rsidR="00DB6D46">
        <w:rPr>
          <w:rFonts w:hint="cs"/>
          <w:rtl/>
        </w:rPr>
        <w:t>התפרסמו ברשת האינטרנט, לאחר שצולמו ברשות הרבים.</w:t>
      </w:r>
      <w:r w:rsidR="00E01035">
        <w:rPr>
          <w:rFonts w:hint="cs"/>
          <w:rtl/>
        </w:rPr>
        <w:t xml:space="preserve"> התובעים משתמשים בתוכנות איתור, ופונים במכתבים מאיימים לאותם מצולמים, המשתמשים בתום לב בתמונותיהם באתרים שלהם, בעיקר ברשתות החברתיות, </w:t>
      </w:r>
      <w:r w:rsidR="00F2752B">
        <w:rPr>
          <w:rFonts w:hint="cs"/>
          <w:rtl/>
        </w:rPr>
        <w:t>כ</w:t>
      </w:r>
      <w:r w:rsidR="00E01035">
        <w:rPr>
          <w:rFonts w:hint="cs"/>
          <w:rtl/>
        </w:rPr>
        <w:t xml:space="preserve">שמטרתם </w:t>
      </w:r>
      <w:r w:rsidR="00F2752B">
        <w:rPr>
          <w:rFonts w:hint="cs"/>
          <w:rtl/>
        </w:rPr>
        <w:t xml:space="preserve">היחידה היא </w:t>
      </w:r>
      <w:r w:rsidR="00E01035">
        <w:rPr>
          <w:rFonts w:hint="cs"/>
          <w:rtl/>
        </w:rPr>
        <w:t>לעודד את קשריהם עם קהילות שונות</w:t>
      </w:r>
      <w:r w:rsidR="00F2752B">
        <w:rPr>
          <w:rFonts w:hint="cs"/>
          <w:rtl/>
        </w:rPr>
        <w:t xml:space="preserve">, ולא </w:t>
      </w:r>
      <w:r w:rsidR="004205DB">
        <w:rPr>
          <w:rFonts w:hint="cs"/>
          <w:rtl/>
        </w:rPr>
        <w:t>ל</w:t>
      </w:r>
      <w:r w:rsidR="00F2752B">
        <w:rPr>
          <w:rFonts w:hint="cs"/>
          <w:rtl/>
        </w:rPr>
        <w:t>מטרות מסחריות</w:t>
      </w:r>
      <w:r w:rsidR="00E01035">
        <w:rPr>
          <w:rFonts w:hint="cs"/>
          <w:rtl/>
        </w:rPr>
        <w:t xml:space="preserve">. </w:t>
      </w:r>
    </w:p>
    <w:p w:rsidR="003E62CC" w:rsidRDefault="003E62CC" w:rsidP="003E62CC">
      <w:pPr>
        <w:pStyle w:val="TableBlock"/>
        <w:rPr>
          <w:rtl/>
        </w:rPr>
      </w:pPr>
      <w:r w:rsidRPr="003E62CC">
        <w:rPr>
          <w:rFonts w:hint="cs"/>
          <w:rtl/>
        </w:rPr>
        <w:t>בין הנפגעים מתעשיית התביעות נמנים אנשי ציבור רבים, וביניהם חברי כנסת</w:t>
      </w:r>
      <w:r>
        <w:rPr>
          <w:rFonts w:hint="cs"/>
          <w:rtl/>
        </w:rPr>
        <w:t>, שעשו שימוש בצילומים שפורסמו ברשת האינטרנט בפוסטים שפרסמו בפייסבוק שלהם, שנועד למטרה של שמירת קשר עם הציבור.</w:t>
      </w:r>
    </w:p>
    <w:p w:rsidR="003E62CC" w:rsidRDefault="003E62CC" w:rsidP="00E01035">
      <w:pPr>
        <w:pStyle w:val="TableBlock"/>
        <w:rPr>
          <w:rtl/>
        </w:rPr>
      </w:pPr>
    </w:p>
    <w:p w:rsidR="00DB6D46" w:rsidRDefault="00F2752B" w:rsidP="004205DB">
      <w:pPr>
        <w:pStyle w:val="TableBlock"/>
        <w:rPr>
          <w:rtl/>
        </w:rPr>
      </w:pPr>
      <w:r>
        <w:rPr>
          <w:rFonts w:hint="cs"/>
          <w:rtl/>
        </w:rPr>
        <w:t>יצויין, כי ככלל, המצלם אדם ברשות הציבור</w:t>
      </w:r>
      <w:r w:rsidR="00DB6D46">
        <w:rPr>
          <w:rFonts w:hint="cs"/>
          <w:rtl/>
        </w:rPr>
        <w:t xml:space="preserve"> </w:t>
      </w:r>
      <w:r>
        <w:rPr>
          <w:rFonts w:hint="cs"/>
          <w:rtl/>
        </w:rPr>
        <w:t>לא נחשב כמי שפוגע בפרטיותו של המצולם, למעט בנסיבות מסוימות</w:t>
      </w:r>
      <w:r w:rsidR="004205DB">
        <w:rPr>
          <w:rFonts w:hint="cs"/>
          <w:rtl/>
        </w:rPr>
        <w:t>, והא לא נדרש לקבל את הסכמת המצולם לצילום או לפרסומו.</w:t>
      </w:r>
      <w:r>
        <w:rPr>
          <w:rFonts w:hint="cs"/>
          <w:rtl/>
        </w:rPr>
        <w:t xml:space="preserve"> יתירה מכך, הצלם הוא בעל זכות היוצרים בתמונה, ולמצולם אין זכות, לפי החוק, לעשות שימוש כלשהו בתמונתו, למרות שהיא פורסמה ברבים, אלא ברשות בעל זכות היוצרים וכנגד תשלום.  </w:t>
      </w:r>
    </w:p>
    <w:p w:rsidR="00F2752B" w:rsidRDefault="00F2752B" w:rsidP="00F2752B">
      <w:pPr>
        <w:pStyle w:val="TableBlock"/>
        <w:rPr>
          <w:rtl/>
        </w:rPr>
      </w:pPr>
      <w:r>
        <w:rPr>
          <w:rFonts w:hint="cs"/>
          <w:rtl/>
        </w:rPr>
        <w:t>בפועל רוב הציבור אינו מודע לכך, ומי שמתפרסמת תמונ</w:t>
      </w:r>
      <w:r w:rsidR="003E62CC">
        <w:rPr>
          <w:rFonts w:hint="cs"/>
          <w:rtl/>
        </w:rPr>
        <w:t>ת</w:t>
      </w:r>
      <w:r>
        <w:rPr>
          <w:rFonts w:hint="cs"/>
          <w:rtl/>
        </w:rPr>
        <w:t>ו סבור לא אחת, שהוא רשאי לעשות בה שימוש.</w:t>
      </w:r>
    </w:p>
    <w:p w:rsidR="00F2752B" w:rsidRDefault="00F2752B" w:rsidP="00F2752B">
      <w:pPr>
        <w:pStyle w:val="TableBlock"/>
        <w:rPr>
          <w:rtl/>
        </w:rPr>
      </w:pPr>
      <w:r>
        <w:rPr>
          <w:rFonts w:hint="cs"/>
          <w:rtl/>
        </w:rPr>
        <w:t>התובעים הסדרתיים מנצלים פרצה זאת, ותובעים מהמשתמשים סכומים שערוריית</w:t>
      </w:r>
      <w:r w:rsidR="002761CB">
        <w:rPr>
          <w:rFonts w:hint="cs"/>
          <w:rtl/>
        </w:rPr>
        <w:t>י</w:t>
      </w:r>
      <w:r>
        <w:rPr>
          <w:rFonts w:hint="cs"/>
          <w:rtl/>
        </w:rPr>
        <w:t>ים כדי להימנע מפרסום או מהגשת תביעה לבית המשפט.</w:t>
      </w:r>
    </w:p>
    <w:p w:rsidR="00F2752B" w:rsidRDefault="003E62CC" w:rsidP="003E62CC">
      <w:pPr>
        <w:pStyle w:val="TableBlock"/>
        <w:rPr>
          <w:rtl/>
        </w:rPr>
      </w:pPr>
      <w:r>
        <w:rPr>
          <w:rFonts w:hint="cs"/>
          <w:rtl/>
        </w:rPr>
        <w:t xml:space="preserve">בצד ההכרה </w:t>
      </w:r>
      <w:r w:rsidR="002761CB" w:rsidRPr="002761CB">
        <w:rPr>
          <w:rFonts w:hint="cs"/>
          <w:rtl/>
        </w:rPr>
        <w:t>בקשיי</w:t>
      </w:r>
      <w:r w:rsidR="002761CB" w:rsidRPr="002761CB">
        <w:t xml:space="preserve"> </w:t>
      </w:r>
      <w:r w:rsidR="002761CB" w:rsidRPr="002761CB">
        <w:rPr>
          <w:rFonts w:hint="cs"/>
          <w:rtl/>
        </w:rPr>
        <w:t>האכיפה</w:t>
      </w:r>
      <w:r w:rsidR="002761CB" w:rsidRPr="002761CB">
        <w:t xml:space="preserve"> </w:t>
      </w:r>
      <w:r w:rsidR="002761CB" w:rsidRPr="002761CB">
        <w:rPr>
          <w:rFonts w:hint="cs"/>
          <w:rtl/>
        </w:rPr>
        <w:t>שבהם</w:t>
      </w:r>
      <w:r w:rsidR="002761CB" w:rsidRPr="002761CB">
        <w:t xml:space="preserve"> </w:t>
      </w:r>
      <w:r w:rsidR="002761CB" w:rsidRPr="002761CB">
        <w:rPr>
          <w:rFonts w:hint="cs"/>
          <w:rtl/>
        </w:rPr>
        <w:t>נתקלים</w:t>
      </w:r>
      <w:r w:rsidR="002761CB" w:rsidRPr="002761CB">
        <w:t xml:space="preserve"> </w:t>
      </w:r>
      <w:r>
        <w:rPr>
          <w:rFonts w:hint="cs"/>
          <w:rtl/>
        </w:rPr>
        <w:t>בעלי זכות היוצרים</w:t>
      </w:r>
      <w:r w:rsidR="002761CB" w:rsidRPr="002761CB">
        <w:t xml:space="preserve"> </w:t>
      </w:r>
      <w:r w:rsidR="002761CB">
        <w:rPr>
          <w:rFonts w:hint="cs"/>
          <w:rtl/>
        </w:rPr>
        <w:t>וההצעות ל</w:t>
      </w:r>
      <w:r w:rsidR="002761CB" w:rsidRPr="002761CB">
        <w:rPr>
          <w:rFonts w:hint="cs"/>
          <w:rtl/>
        </w:rPr>
        <w:t>הסדרים</w:t>
      </w:r>
      <w:r w:rsidR="002761CB" w:rsidRPr="002761CB">
        <w:t xml:space="preserve"> </w:t>
      </w:r>
      <w:r w:rsidR="002761CB" w:rsidRPr="002761CB">
        <w:rPr>
          <w:rFonts w:hint="cs"/>
          <w:rtl/>
        </w:rPr>
        <w:t>ש</w:t>
      </w:r>
      <w:r w:rsidR="002761CB">
        <w:rPr>
          <w:rFonts w:hint="cs"/>
          <w:rtl/>
        </w:rPr>
        <w:t>יתנו</w:t>
      </w:r>
      <w:r w:rsidR="002761CB" w:rsidRPr="002761CB">
        <w:t xml:space="preserve"> </w:t>
      </w:r>
      <w:r w:rsidR="002761CB" w:rsidRPr="002761CB">
        <w:rPr>
          <w:rFonts w:hint="cs"/>
          <w:rtl/>
        </w:rPr>
        <w:t>מענה</w:t>
      </w:r>
      <w:r>
        <w:rPr>
          <w:rFonts w:hint="cs"/>
          <w:rtl/>
        </w:rPr>
        <w:t xml:space="preserve"> </w:t>
      </w:r>
      <w:r w:rsidR="002761CB" w:rsidRPr="002761CB">
        <w:rPr>
          <w:rFonts w:hint="cs"/>
          <w:rtl/>
        </w:rPr>
        <w:t>לקשיים</w:t>
      </w:r>
      <w:r w:rsidR="002761CB" w:rsidRPr="002761CB">
        <w:t xml:space="preserve"> </w:t>
      </w:r>
      <w:r w:rsidR="002761CB" w:rsidRPr="002761CB">
        <w:rPr>
          <w:rFonts w:hint="cs"/>
          <w:rtl/>
        </w:rPr>
        <w:t>אלה</w:t>
      </w:r>
      <w:r w:rsidR="002761CB">
        <w:t>,</w:t>
      </w:r>
      <w:r w:rsidR="002761CB">
        <w:rPr>
          <w:rFonts w:hint="cs"/>
          <w:rtl/>
        </w:rPr>
        <w:t xml:space="preserve"> כמוצע בהצעת החוק, יש גם לסייג את זכותם של בעלי זכות היוצרים ולהכיר בשימוש בתמונות, בנסיבות ובתנאים המפורטים בהצעה זו, כשימוש מותר.</w:t>
      </w:r>
    </w:p>
    <w:p w:rsidR="00C27F33" w:rsidRDefault="00C27F33" w:rsidP="00C27F33">
      <w:pPr>
        <w:pStyle w:val="TableBlock"/>
        <w:jc w:val="center"/>
      </w:pPr>
    </w:p>
    <w:p w:rsidR="00C27F33" w:rsidRDefault="000C5EAB" w:rsidP="00C27F33">
      <w:pPr>
        <w:pStyle w:val="TableBlock"/>
        <w:rPr>
          <w:rtl/>
        </w:rPr>
      </w:pPr>
      <w:r>
        <w:rPr>
          <w:rFonts w:hint="cs"/>
          <w:rtl/>
        </w:rPr>
        <w:t xml:space="preserve">מלבד זאת,  </w:t>
      </w:r>
      <w:r w:rsidR="00C27F33">
        <w:rPr>
          <w:rFonts w:hint="cs"/>
          <w:rtl/>
        </w:rPr>
        <w:t>סעיף 56 לחוק זכות יוצרים, התשס"ח-2007, קובע כי בית המשפט רשאי לפסוק פיצויים בלא הוכחת נזק בסכום של עד 100 אלף ₪, על כל הפרה של זכות יוצרים או זכות מוסרית.</w:t>
      </w:r>
    </w:p>
    <w:p w:rsidR="00C27F33" w:rsidRDefault="000C5EAB" w:rsidP="003A68C9">
      <w:pPr>
        <w:pStyle w:val="TableBlock"/>
        <w:rPr>
          <w:rtl/>
        </w:rPr>
      </w:pPr>
      <w:r>
        <w:rPr>
          <w:rFonts w:hint="cs"/>
          <w:rtl/>
        </w:rPr>
        <w:t xml:space="preserve">בשל אותה תופעה שהוסברה לעיל, מוצע </w:t>
      </w:r>
      <w:r w:rsidR="003A68C9">
        <w:rPr>
          <w:rFonts w:hint="cs"/>
          <w:rtl/>
        </w:rPr>
        <w:t xml:space="preserve">לקבוע בסעיף 2 להצעת החוק כי במקרים שאין מדובר בצילום עצמי כאמור בסעיף 1 להצ"ח זו, לא יקבע בית משפט פיצויים ללא הוכחת נזק </w:t>
      </w:r>
      <w:r w:rsidR="003A68C9">
        <w:rPr>
          <w:rtl/>
        </w:rPr>
        <w:t>אם הפרת זכות היוצרים היתה שלא למטרת רווח ובעל זכות היוצרים מסר למפר הודעה כי הוא הפר את זכות היוצרים שלו ונתן לו פרק זמן סביר להפסיק את ההפרה</w:t>
      </w:r>
      <w:r w:rsidR="003A68C9">
        <w:rPr>
          <w:rFonts w:hint="cs"/>
          <w:rtl/>
        </w:rPr>
        <w:t xml:space="preserve"> וזו הופסקה.</w:t>
      </w:r>
    </w:p>
    <w:p w:rsidR="003A68C9" w:rsidRDefault="003A68C9" w:rsidP="00C27F33">
      <w:pPr>
        <w:pStyle w:val="TableBlock"/>
        <w:rPr>
          <w:rtl/>
        </w:rPr>
      </w:pPr>
    </w:p>
    <w:p w:rsidR="00C27F33" w:rsidRDefault="00C27F33" w:rsidP="003E62CC">
      <w:pPr>
        <w:pStyle w:val="TableBlock"/>
      </w:pPr>
    </w:p>
    <w:sectPr w:rsidR="00C27F33" w:rsidSect="000830EA">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7F68" w:rsidRDefault="00AA7F68" w:rsidP="005A4C3C">
      <w:pPr>
        <w:spacing w:line="240" w:lineRule="auto"/>
      </w:pPr>
      <w:r>
        <w:separator/>
      </w:r>
    </w:p>
  </w:endnote>
  <w:endnote w:type="continuationSeparator" w:id="0">
    <w:p w:rsidR="00AA7F68" w:rsidRDefault="00AA7F68" w:rsidP="005A4C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Hadasa Roso SL">
    <w:altName w:val="Times New Roman"/>
    <w:charset w:val="00"/>
    <w:family w:val="roman"/>
    <w:pitch w:val="variable"/>
    <w:sig w:usb0="80001827" w:usb1="5000004A" w:usb2="00000020" w:usb3="00000000" w:csb0="00000021" w:csb1="00000000"/>
  </w:font>
  <w:font w:name="Arial Unicode MS">
    <w:panose1 w:val="020B0604020202020204"/>
    <w:charset w:val="80"/>
    <w:family w:val="swiss"/>
    <w:pitch w:val="variable"/>
    <w:sig w:usb0="F7FFAFFF" w:usb1="E9DFFFFF" w:usb2="0000003F" w:usb3="00000000" w:csb0="003F01FF" w:csb1="00000000"/>
  </w:font>
  <w:font w:name="David">
    <w:panose1 w:val="020E05020604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7F68" w:rsidRDefault="00AA7F68" w:rsidP="005A4C3C">
      <w:pPr>
        <w:spacing w:line="240" w:lineRule="auto"/>
      </w:pPr>
      <w:r>
        <w:separator/>
      </w:r>
    </w:p>
  </w:footnote>
  <w:footnote w:type="continuationSeparator" w:id="0">
    <w:p w:rsidR="00AA7F68" w:rsidRDefault="00AA7F68" w:rsidP="005A4C3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F6AAD98"/>
    <w:lvl w:ilvl="0">
      <w:start w:val="1"/>
      <w:numFmt w:val="decimal"/>
      <w:lvlText w:val="%1."/>
      <w:lvlJc w:val="left"/>
      <w:pPr>
        <w:tabs>
          <w:tab w:val="num" w:pos="1492"/>
        </w:tabs>
        <w:ind w:left="1492" w:hanging="360"/>
      </w:pPr>
    </w:lvl>
  </w:abstractNum>
  <w:abstractNum w:abstractNumId="1" w15:restartNumberingAfterBreak="0">
    <w:nsid w:val="1CDD78F3"/>
    <w:multiLevelType w:val="hybridMultilevel"/>
    <w:tmpl w:val="9E4C4E42"/>
    <w:lvl w:ilvl="0" w:tplc="861C87C0">
      <w:start w:val="1"/>
      <w:numFmt w:val="decimal"/>
      <w:lvlText w:val="(%1)"/>
      <w:lvlJc w:val="left"/>
      <w:pPr>
        <w:tabs>
          <w:tab w:val="num" w:pos="62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53C544D"/>
    <w:multiLevelType w:val="hybridMultilevel"/>
    <w:tmpl w:val="B170A16C"/>
    <w:lvl w:ilvl="0" w:tplc="746489A4">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5C858E4"/>
    <w:multiLevelType w:val="hybridMultilevel"/>
    <w:tmpl w:val="882C6ED4"/>
    <w:lvl w:ilvl="0" w:tplc="4112A21E">
      <w:start w:val="1"/>
      <w:numFmt w:val="hebrew1"/>
      <w:lvlRestart w:val="0"/>
      <w:lvlText w:val="(%1)"/>
      <w:lvlJc w:val="left"/>
      <w:pPr>
        <w:tabs>
          <w:tab w:val="num" w:pos="624"/>
        </w:tabs>
        <w:ind w:left="0" w:firstLine="0"/>
      </w:pPr>
      <w:rPr>
        <w:rFonts w:hint="default"/>
      </w:rPr>
    </w:lvl>
    <w:lvl w:ilvl="1" w:tplc="49082BE6">
      <w:start w:val="1"/>
      <w:numFmt w:val="decimal"/>
      <w:lvlRestart w:val="0"/>
      <w:lvlText w:val="(%2)"/>
      <w:lvlJc w:val="left"/>
      <w:pPr>
        <w:tabs>
          <w:tab w:val="num" w:pos="1704"/>
        </w:tabs>
        <w:ind w:left="1080" w:firstLine="0"/>
      </w:pPr>
      <w:rPr>
        <w:rFonts w:hint="default"/>
      </w:rPr>
    </w:lvl>
    <w:lvl w:ilvl="2" w:tplc="48C06176">
      <w:start w:val="1"/>
      <w:numFmt w:val="decimal"/>
      <w:lvlRestart w:val="0"/>
      <w:lvlText w:val="(%3)"/>
      <w:lvlJc w:val="left"/>
      <w:pPr>
        <w:tabs>
          <w:tab w:val="num" w:pos="2604"/>
        </w:tabs>
        <w:ind w:left="1980" w:firstLine="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C3C"/>
    <w:rsid w:val="000830EA"/>
    <w:rsid w:val="000C5EAB"/>
    <w:rsid w:val="001C39E8"/>
    <w:rsid w:val="002761CB"/>
    <w:rsid w:val="00362B91"/>
    <w:rsid w:val="003A68C9"/>
    <w:rsid w:val="003E62CC"/>
    <w:rsid w:val="004205DB"/>
    <w:rsid w:val="005A4C3C"/>
    <w:rsid w:val="005B2E1A"/>
    <w:rsid w:val="00642791"/>
    <w:rsid w:val="006B6BF7"/>
    <w:rsid w:val="00985D36"/>
    <w:rsid w:val="00A91A8C"/>
    <w:rsid w:val="00AA7F68"/>
    <w:rsid w:val="00B0378F"/>
    <w:rsid w:val="00B67847"/>
    <w:rsid w:val="00C27F33"/>
    <w:rsid w:val="00D70CEA"/>
    <w:rsid w:val="00DB6D46"/>
    <w:rsid w:val="00E01035"/>
    <w:rsid w:val="00E13745"/>
    <w:rsid w:val="00E670B1"/>
    <w:rsid w:val="00E86FD6"/>
    <w:rsid w:val="00F2752B"/>
    <w:rsid w:val="00FA0BB2"/>
    <w:rsid w:val="00FA6499"/>
    <w:rsid w:val="00FD6B4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BE2359-B8FB-44B6-85D6-5E65BB616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2791"/>
    <w:pPr>
      <w:widowControl w:val="0"/>
      <w:autoSpaceDE w:val="0"/>
      <w:autoSpaceDN w:val="0"/>
      <w:bidi/>
      <w:adjustRightInd w:val="0"/>
      <w:spacing w:before="102" w:after="0" w:line="204" w:lineRule="atLeast"/>
      <w:ind w:firstLine="340"/>
      <w:jc w:val="both"/>
      <w:textAlignment w:val="center"/>
    </w:pPr>
    <w:rPr>
      <w:rFonts w:ascii="Hadasa Roso SL" w:hAnsi="Hadasa Roso SL" w:cs="Hadasa Roso SL"/>
      <w:color w:val="000000"/>
      <w:spacing w:val="1"/>
      <w:sz w:val="17"/>
      <w:szCs w:val="17"/>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Text">
    <w:name w:val="Table Text"/>
    <w:basedOn w:val="a"/>
    <w:rsid w:val="00642791"/>
    <w:pPr>
      <w:keepLines/>
      <w:tabs>
        <w:tab w:val="left" w:pos="624"/>
        <w:tab w:val="left" w:pos="1247"/>
      </w:tabs>
      <w:snapToGrid w:val="0"/>
      <w:spacing w:before="0" w:line="360" w:lineRule="auto"/>
      <w:ind w:right="57" w:firstLine="0"/>
      <w:jc w:val="left"/>
    </w:pPr>
    <w:rPr>
      <w:rFonts w:ascii="Arial" w:eastAsia="Arial Unicode MS" w:hAnsi="Arial" w:cs="David"/>
      <w:snapToGrid w:val="0"/>
      <w:spacing w:val="0"/>
      <w:sz w:val="20"/>
      <w:szCs w:val="26"/>
    </w:rPr>
  </w:style>
  <w:style w:type="paragraph" w:customStyle="1" w:styleId="TableBlock">
    <w:name w:val="Table Block"/>
    <w:basedOn w:val="TableText"/>
    <w:rsid w:val="00642791"/>
    <w:pPr>
      <w:ind w:right="0"/>
      <w:jc w:val="both"/>
    </w:pPr>
  </w:style>
  <w:style w:type="paragraph" w:customStyle="1" w:styleId="TableSideHeading">
    <w:name w:val="Table SideHeading"/>
    <w:basedOn w:val="TableText"/>
    <w:rsid w:val="00642791"/>
  </w:style>
  <w:style w:type="paragraph" w:customStyle="1" w:styleId="TableInnerSideHeading">
    <w:name w:val="Table InnerSideHeading"/>
    <w:basedOn w:val="TableSideHeading"/>
    <w:rsid w:val="00642791"/>
  </w:style>
  <w:style w:type="paragraph" w:styleId="a3">
    <w:name w:val="footnote text"/>
    <w:basedOn w:val="a"/>
    <w:link w:val="a4"/>
    <w:autoRedefine/>
    <w:semiHidden/>
    <w:rsid w:val="00642791"/>
    <w:pPr>
      <w:snapToGrid w:val="0"/>
      <w:spacing w:before="0" w:line="240" w:lineRule="auto"/>
      <w:ind w:left="227" w:hanging="227"/>
      <w:jc w:val="left"/>
    </w:pPr>
    <w:rPr>
      <w:rFonts w:ascii="Arial" w:eastAsia="Arial Unicode MS" w:hAnsi="Arial" w:cs="David"/>
      <w:snapToGrid w:val="0"/>
      <w:spacing w:val="0"/>
      <w:sz w:val="14"/>
      <w:szCs w:val="20"/>
    </w:rPr>
  </w:style>
  <w:style w:type="character" w:customStyle="1" w:styleId="a4">
    <w:name w:val="טקסט הערת שוליים תו"/>
    <w:basedOn w:val="a0"/>
    <w:link w:val="a3"/>
    <w:semiHidden/>
    <w:rsid w:val="005A4C3C"/>
    <w:rPr>
      <w:rFonts w:ascii="Arial" w:eastAsia="Arial Unicode MS" w:hAnsi="Arial" w:cs="David"/>
      <w:snapToGrid w:val="0"/>
      <w:color w:val="000000"/>
      <w:sz w:val="14"/>
      <w:szCs w:val="20"/>
      <w:lang w:eastAsia="ja-JP"/>
    </w:rPr>
  </w:style>
  <w:style w:type="character" w:styleId="a5">
    <w:name w:val="footnote reference"/>
    <w:aliases w:val="Footnote Reference"/>
    <w:basedOn w:val="a0"/>
    <w:semiHidden/>
    <w:rsid w:val="00642791"/>
    <w:rPr>
      <w:vertAlign w:val="superscript"/>
    </w:rPr>
  </w:style>
  <w:style w:type="character" w:customStyle="1" w:styleId="default">
    <w:name w:val="default"/>
    <w:basedOn w:val="a0"/>
    <w:rsid w:val="00B0378F"/>
    <w:rPr>
      <w:rFonts w:ascii="Times New Roman" w:hAnsi="Times New Roman" w:cs="Times New Roman"/>
      <w:sz w:val="26"/>
      <w:szCs w:val="26"/>
    </w:rPr>
  </w:style>
  <w:style w:type="paragraph" w:customStyle="1" w:styleId="HeadMitparsemetBaze">
    <w:name w:val="Head MitparsemetBaze"/>
    <w:basedOn w:val="a"/>
    <w:rsid w:val="00642791"/>
    <w:pPr>
      <w:keepNext/>
      <w:keepLines/>
      <w:pageBreakBefore/>
      <w:snapToGrid w:val="0"/>
      <w:spacing w:before="480" w:line="360" w:lineRule="auto"/>
      <w:ind w:firstLine="0"/>
    </w:pPr>
    <w:rPr>
      <w:rFonts w:ascii="Arial" w:eastAsia="Arial Unicode MS" w:hAnsi="Arial" w:cs="David"/>
      <w:b/>
      <w:bCs/>
      <w:snapToGrid w:val="0"/>
      <w:spacing w:val="0"/>
      <w:sz w:val="20"/>
      <w:szCs w:val="26"/>
    </w:rPr>
  </w:style>
  <w:style w:type="paragraph" w:customStyle="1" w:styleId="HeadHatzaotHok">
    <w:name w:val="Head HatzaotHok"/>
    <w:basedOn w:val="a"/>
    <w:rsid w:val="00642791"/>
    <w:pPr>
      <w:keepNext/>
      <w:keepLines/>
      <w:snapToGrid w:val="0"/>
      <w:spacing w:before="240" w:line="360" w:lineRule="auto"/>
      <w:ind w:firstLine="0"/>
      <w:jc w:val="center"/>
    </w:pPr>
    <w:rPr>
      <w:rFonts w:ascii="Arial" w:eastAsia="Arial Unicode MS" w:hAnsi="Arial" w:cs="David"/>
      <w:b/>
      <w:bCs/>
      <w:snapToGrid w:val="0"/>
      <w:spacing w:val="0"/>
      <w:sz w:val="20"/>
      <w:szCs w:val="26"/>
    </w:rPr>
  </w:style>
  <w:style w:type="paragraph" w:customStyle="1" w:styleId="HeadHatzaotHok4Futer">
    <w:name w:val="Head HatzaotHok4Futer"/>
    <w:basedOn w:val="HeadHatzaotHok"/>
    <w:rsid w:val="00642791"/>
    <w:pPr>
      <w:spacing w:before="120" w:after="120"/>
    </w:pPr>
    <w:rPr>
      <w:color w:val="FF0000"/>
      <w:w w:val="80"/>
    </w:rPr>
  </w:style>
  <w:style w:type="paragraph" w:styleId="a6">
    <w:name w:val="endnote text"/>
    <w:basedOn w:val="a"/>
    <w:link w:val="a7"/>
    <w:semiHidden/>
    <w:rsid w:val="00642791"/>
    <w:pPr>
      <w:ind w:left="227" w:hanging="227"/>
    </w:pPr>
    <w:rPr>
      <w:sz w:val="14"/>
      <w:szCs w:val="22"/>
    </w:rPr>
  </w:style>
  <w:style w:type="character" w:customStyle="1" w:styleId="a7">
    <w:name w:val="טקסט הערת סיום תו"/>
    <w:basedOn w:val="a0"/>
    <w:link w:val="a6"/>
    <w:semiHidden/>
    <w:rsid w:val="00642791"/>
    <w:rPr>
      <w:rFonts w:ascii="Hadasa Roso SL" w:eastAsia="MS Mincho" w:hAnsi="Hadasa Roso SL" w:cs="Hadasa Roso SL"/>
      <w:color w:val="000000"/>
      <w:spacing w:val="1"/>
      <w:sz w:val="14"/>
      <w:lang w:eastAsia="ja-JP"/>
    </w:rPr>
  </w:style>
  <w:style w:type="paragraph" w:customStyle="1" w:styleId="TableHead">
    <w:name w:val="Table Head"/>
    <w:basedOn w:val="TableText"/>
    <w:rsid w:val="00642791"/>
    <w:pPr>
      <w:ind w:right="0"/>
      <w:jc w:val="center"/>
    </w:pPr>
    <w:rPr>
      <w:b/>
      <w:bCs/>
    </w:rPr>
  </w:style>
  <w:style w:type="paragraph" w:customStyle="1" w:styleId="Hesber">
    <w:name w:val="Hesber"/>
    <w:basedOn w:val="a"/>
    <w:rsid w:val="00642791"/>
    <w:pPr>
      <w:snapToGrid w:val="0"/>
      <w:spacing w:before="0" w:line="360" w:lineRule="auto"/>
    </w:pPr>
    <w:rPr>
      <w:rFonts w:ascii="Arial" w:eastAsia="Arial Unicode MS" w:hAnsi="Arial" w:cs="David"/>
      <w:snapToGrid w:val="0"/>
      <w:spacing w:val="0"/>
      <w:sz w:val="20"/>
      <w:szCs w:val="26"/>
    </w:rPr>
  </w:style>
  <w:style w:type="paragraph" w:customStyle="1" w:styleId="HesberHeading">
    <w:name w:val="Hesber Heading"/>
    <w:basedOn w:val="Hesber"/>
    <w:rsid w:val="00642791"/>
    <w:pPr>
      <w:tabs>
        <w:tab w:val="left" w:pos="624"/>
        <w:tab w:val="left" w:pos="1247"/>
      </w:tabs>
      <w:ind w:firstLine="0"/>
    </w:pPr>
    <w:rPr>
      <w:b/>
      <w:bCs/>
    </w:rPr>
  </w:style>
  <w:style w:type="paragraph" w:customStyle="1" w:styleId="HesberWriters">
    <w:name w:val="Hesber Writers"/>
    <w:basedOn w:val="Hesber"/>
    <w:rsid w:val="00642791"/>
    <w:pPr>
      <w:spacing w:before="120" w:after="6000"/>
      <w:ind w:left="1418" w:firstLine="0"/>
      <w:jc w:val="right"/>
    </w:pPr>
    <w:rPr>
      <w:b/>
      <w:bCs/>
    </w:rPr>
  </w:style>
  <w:style w:type="paragraph" w:customStyle="1" w:styleId="Hesber1st">
    <w:name w:val="Hesber 1st"/>
    <w:basedOn w:val="Hesber"/>
    <w:rsid w:val="00642791"/>
    <w:pPr>
      <w:tabs>
        <w:tab w:val="left" w:pos="680"/>
        <w:tab w:val="left" w:pos="1020"/>
      </w:tabs>
      <w:ind w:firstLine="0"/>
    </w:pPr>
  </w:style>
  <w:style w:type="character" w:styleId="a8">
    <w:name w:val="endnote reference"/>
    <w:basedOn w:val="a0"/>
    <w:semiHidden/>
    <w:rsid w:val="00642791"/>
    <w:rPr>
      <w:vertAlign w:val="superscript"/>
    </w:rPr>
  </w:style>
  <w:style w:type="paragraph" w:customStyle="1" w:styleId="TableBlockOutdent">
    <w:name w:val="Table BlockOutdent"/>
    <w:basedOn w:val="TableBlock"/>
    <w:rsid w:val="00642791"/>
    <w:pPr>
      <w:ind w:left="624" w:hanging="624"/>
    </w:pPr>
  </w:style>
  <w:style w:type="paragraph" w:styleId="a9">
    <w:name w:val="header"/>
    <w:basedOn w:val="a"/>
    <w:link w:val="aa"/>
    <w:rsid w:val="00642791"/>
    <w:pPr>
      <w:tabs>
        <w:tab w:val="center" w:pos="4153"/>
        <w:tab w:val="right" w:pos="8306"/>
      </w:tabs>
    </w:pPr>
  </w:style>
  <w:style w:type="character" w:customStyle="1" w:styleId="aa">
    <w:name w:val="כותרת עליונה תו"/>
    <w:basedOn w:val="a0"/>
    <w:link w:val="a9"/>
    <w:rsid w:val="00642791"/>
    <w:rPr>
      <w:rFonts w:ascii="Hadasa Roso SL" w:eastAsia="MS Mincho" w:hAnsi="Hadasa Roso SL" w:cs="Hadasa Roso SL"/>
      <w:color w:val="000000"/>
      <w:spacing w:val="1"/>
      <w:sz w:val="17"/>
      <w:szCs w:val="17"/>
      <w:lang w:eastAsia="ja-JP"/>
    </w:rPr>
  </w:style>
  <w:style w:type="paragraph" w:styleId="ab">
    <w:name w:val="footer"/>
    <w:basedOn w:val="a"/>
    <w:link w:val="ac"/>
    <w:rsid w:val="00642791"/>
    <w:pPr>
      <w:tabs>
        <w:tab w:val="center" w:pos="4153"/>
        <w:tab w:val="right" w:pos="8306"/>
      </w:tabs>
    </w:pPr>
  </w:style>
  <w:style w:type="character" w:customStyle="1" w:styleId="ac">
    <w:name w:val="כותרת תחתונה תו"/>
    <w:basedOn w:val="a0"/>
    <w:link w:val="ab"/>
    <w:rsid w:val="00642791"/>
    <w:rPr>
      <w:rFonts w:ascii="Hadasa Roso SL" w:eastAsia="MS Mincho" w:hAnsi="Hadasa Roso SL" w:cs="Hadasa Roso SL"/>
      <w:color w:val="000000"/>
      <w:spacing w:val="1"/>
      <w:sz w:val="17"/>
      <w:szCs w:val="17"/>
      <w:lang w:eastAsia="ja-JP"/>
    </w:rPr>
  </w:style>
  <w:style w:type="paragraph" w:customStyle="1" w:styleId="HeadDivreiHesber">
    <w:name w:val="Head DivreiHesber"/>
    <w:basedOn w:val="a"/>
    <w:rsid w:val="00642791"/>
    <w:pPr>
      <w:snapToGrid w:val="0"/>
      <w:spacing w:before="360" w:after="120" w:line="360" w:lineRule="auto"/>
      <w:ind w:firstLine="0"/>
      <w:jc w:val="center"/>
    </w:pPr>
    <w:rPr>
      <w:rFonts w:ascii="Arial" w:eastAsia="Arial Unicode MS" w:hAnsi="Arial" w:cs="David"/>
      <w:b/>
      <w:snapToGrid w:val="0"/>
      <w:spacing w:val="40"/>
      <w:sz w:val="20"/>
      <w:szCs w:val="26"/>
    </w:rPr>
  </w:style>
  <w:style w:type="character" w:styleId="ad">
    <w:name w:val="page number"/>
    <w:basedOn w:val="a0"/>
    <w:rsid w:val="00642791"/>
  </w:style>
  <w:style w:type="paragraph" w:customStyle="1" w:styleId="Cover1-Reshumot">
    <w:name w:val="Cover 1-Reshumot"/>
    <w:basedOn w:val="a"/>
    <w:rsid w:val="00642791"/>
    <w:pPr>
      <w:tabs>
        <w:tab w:val="left" w:pos="1191"/>
        <w:tab w:val="left" w:pos="1587"/>
      </w:tabs>
      <w:snapToGrid w:val="0"/>
      <w:spacing w:before="240" w:after="240" w:line="480" w:lineRule="auto"/>
      <w:ind w:firstLine="0"/>
      <w:jc w:val="center"/>
    </w:pPr>
    <w:rPr>
      <w:rFonts w:ascii="Arial" w:eastAsia="Arial Unicode MS" w:hAnsi="Arial" w:cs="David"/>
      <w:snapToGrid w:val="0"/>
      <w:spacing w:val="0"/>
      <w:sz w:val="20"/>
      <w:szCs w:val="26"/>
    </w:rPr>
  </w:style>
  <w:style w:type="paragraph" w:customStyle="1" w:styleId="Cover2-HatzaotHok">
    <w:name w:val="Cover 2-HatzaotHok"/>
    <w:basedOn w:val="Cover1-Reshumot"/>
    <w:rsid w:val="00642791"/>
    <w:rPr>
      <w:sz w:val="36"/>
      <w:szCs w:val="52"/>
    </w:rPr>
  </w:style>
  <w:style w:type="paragraph" w:customStyle="1" w:styleId="Cover3-Haknesset">
    <w:name w:val="Cover 3-Haknesset"/>
    <w:basedOn w:val="Cover1-Reshumot"/>
    <w:rsid w:val="00642791"/>
    <w:rPr>
      <w:b/>
      <w:bCs/>
      <w:spacing w:val="60"/>
    </w:rPr>
  </w:style>
  <w:style w:type="paragraph" w:customStyle="1" w:styleId="Cover4-Date">
    <w:name w:val="Cover 4-Date"/>
    <w:basedOn w:val="a"/>
    <w:rsid w:val="00642791"/>
    <w:pPr>
      <w:pBdr>
        <w:bottom w:val="single" w:sz="4" w:space="0" w:color="auto"/>
      </w:pBdr>
      <w:tabs>
        <w:tab w:val="center" w:pos="4820"/>
        <w:tab w:val="right" w:pos="9639"/>
      </w:tabs>
      <w:snapToGrid w:val="0"/>
      <w:spacing w:before="240" w:after="240" w:line="360" w:lineRule="auto"/>
      <w:ind w:firstLine="0"/>
      <w:jc w:val="left"/>
    </w:pPr>
    <w:rPr>
      <w:rFonts w:ascii="Arial" w:eastAsia="Arial Unicode MS" w:hAnsi="Arial" w:cs="David"/>
      <w:snapToGrid w:val="0"/>
      <w:spacing w:val="0"/>
      <w:sz w:val="20"/>
      <w:szCs w:val="26"/>
    </w:rPr>
  </w:style>
  <w:style w:type="paragraph" w:customStyle="1" w:styleId="Ragil">
    <w:name w:val="Ragil"/>
    <w:basedOn w:val="a"/>
    <w:rsid w:val="00642791"/>
    <w:pPr>
      <w:snapToGrid w:val="0"/>
      <w:spacing w:before="0" w:line="360" w:lineRule="auto"/>
      <w:jc w:val="left"/>
    </w:pPr>
    <w:rPr>
      <w:rFonts w:ascii="Arial" w:eastAsia="Arial Unicode MS" w:hAnsi="Arial" w:cs="David"/>
      <w:snapToGrid w:val="0"/>
      <w:spacing w:val="0"/>
      <w:sz w:val="20"/>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395471">
      <w:bodyDiv w:val="1"/>
      <w:marLeft w:val="0"/>
      <w:marRight w:val="0"/>
      <w:marTop w:val="0"/>
      <w:marBottom w:val="0"/>
      <w:divBdr>
        <w:top w:val="none" w:sz="0" w:space="0" w:color="auto"/>
        <w:left w:val="none" w:sz="0" w:space="0" w:color="auto"/>
        <w:bottom w:val="none" w:sz="0" w:space="0" w:color="auto"/>
        <w:right w:val="none" w:sz="0" w:space="0" w:color="auto"/>
      </w:divBdr>
    </w:div>
    <w:div w:id="1350794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931E205BBB08441AEFFEBF8ABB23DF1" ma:contentTypeVersion="0" ma:contentTypeDescription="Create a new document." ma:contentTypeScope="" ma:versionID="5e16b795bfa190b891513a8f9da4548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C700B6-671C-467E-8222-F7A50077156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7C448E5-FA2D-4B47-BE31-1CF874B3FBED}">
  <ds:schemaRefs>
    <ds:schemaRef ds:uri="http://schemas.microsoft.com/sharepoint/v3/contenttype/forms"/>
  </ds:schemaRefs>
</ds:datastoreItem>
</file>

<file path=customXml/itemProps3.xml><?xml version="1.0" encoding="utf-8"?>
<ds:datastoreItem xmlns:ds="http://schemas.openxmlformats.org/officeDocument/2006/customXml" ds:itemID="{861BAE2C-76D1-4CF7-AF54-F795DEF728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486</Words>
  <Characters>2433</Characters>
  <Application>Microsoft Office Word</Application>
  <DocSecurity>0</DocSecurity>
  <Lines>20</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אתי בנדלר</dc:creator>
  <cp:keywords/>
  <dc:description/>
  <cp:lastModifiedBy>כוכי שבתאי</cp:lastModifiedBy>
  <cp:revision>2</cp:revision>
  <cp:lastPrinted>2017-11-21T10:02:00Z</cp:lastPrinted>
  <dcterms:created xsi:type="dcterms:W3CDTF">2018-07-24T09:11:00Z</dcterms:created>
  <dcterms:modified xsi:type="dcterms:W3CDTF">2018-07-24T09:11:00Z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0x010100F931E205BBB08441AEFFEBF8ABB23DF1</vt:lpwstr>
  </property>
  <property fmtid="{D5CDD505-2E9C-101B-9397-08002B2CF9AE}" pid="3" name="SanhedrinDocumentType">
    <vt:r8>88</vt:r8>
  </property>
  <property fmtid="{D5CDD505-2E9C-101B-9397-08002B2CF9AE}" pid="4" name="SanhedrinItemID">
    <vt:r8>2072309</vt:r8>
  </property>
</Properties>
</file>