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574029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יוזמים:      חברי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ציפי לבני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יצחק הרצוג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עמיר פרץ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איתן כבל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יואל חסון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איל בן ראובן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מיכל בירן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כהן-פארן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איילת נחמיאס ורבין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רויטל סויד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 xml:space="preserve">קסניה </w:t>
      </w:r>
      <w:proofErr w:type="spellStart"/>
      <w:r>
        <w:rPr>
          <w:rFonts w:hint="cs"/>
          <w:b/>
          <w:bCs/>
          <w:rtl/>
        </w:rPr>
        <w:t>סבטלובה</w:t>
      </w:r>
      <w:proofErr w:type="spellEnd"/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יחיאל חיליק בר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אראל מרגלית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יוסי יונה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איתן ברושי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שלי יחימוביץ'</w:t>
      </w:r>
      <w:bookmarkEnd w:id="4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="002200A1"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DFA2DD2" w:rsidR="00E13C27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7" w:name="Private_Number"/>
      <w:r>
        <w:rPr>
          <w:rFonts w:hint="cs"/>
          <w:rtl/>
        </w:rPr>
        <w:t>פ/2631/20</w:t>
      </w:r>
      <w:bookmarkEnd w:id="7"/>
    </w:p>
    <w:p w14:paraId="37391644" w14:textId="77777777" w:rsidR="00A8073F" w:rsidRPr="00E06736" w:rsidRDefault="00A8073F" w:rsidP="00904591">
      <w:pPr>
        <w:pStyle w:val="David"/>
        <w:spacing w:before="0" w:line="240" w:lineRule="auto"/>
        <w:ind w:left="3544"/>
        <w:rPr>
          <w:rtl/>
        </w:rPr>
      </w:pPr>
    </w:p>
    <w:p w14:paraId="7F6961AE" w14:textId="580B12A0" w:rsidR="00E13C27" w:rsidRDefault="00A443CF" w:rsidP="00A8073F">
      <w:pPr>
        <w:pStyle w:val="HeadHatzaotHok"/>
        <w:rPr>
          <w:rtl/>
        </w:rPr>
      </w:pPr>
      <w:bookmarkStart w:id="8" w:name="LGS_Subject"/>
      <w:r>
        <w:rPr>
          <w:rFonts w:hint="cs"/>
          <w:rtl/>
        </w:rPr>
        <w:t xml:space="preserve">הצעת חוק לקביעת יום ראשון כיום מנוחה במקום יום שישי, </w:t>
      </w:r>
      <w:proofErr w:type="spellStart"/>
      <w:r>
        <w:rPr>
          <w:rFonts w:hint="cs"/>
          <w:rtl/>
        </w:rPr>
        <w:t>התשע"ו</w:t>
      </w:r>
      <w:proofErr w:type="spellEnd"/>
      <w:r>
        <w:rPr>
          <w:rFonts w:hint="cs"/>
          <w:rtl/>
        </w:rPr>
        <w:t>–2016</w:t>
      </w:r>
      <w:bookmarkEnd w:id="8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24"/>
        <w:gridCol w:w="624"/>
        <w:gridCol w:w="624"/>
        <w:gridCol w:w="624"/>
        <w:gridCol w:w="5274"/>
      </w:tblGrid>
      <w:tr w:rsidR="0091067E" w:rsidRPr="00CA5A2B" w14:paraId="21C596A5" w14:textId="77777777" w:rsidTr="00404D14">
        <w:trPr>
          <w:cantSplit/>
        </w:trPr>
        <w:tc>
          <w:tcPr>
            <w:tcW w:w="1871" w:type="dxa"/>
            <w:hideMark/>
          </w:tcPr>
          <w:p w14:paraId="5CD27516" w14:textId="77777777" w:rsidR="0091067E" w:rsidRDefault="0091067E" w:rsidP="00404D14">
            <w:pPr>
              <w:pStyle w:val="TableSideHeading"/>
              <w:ind w:right="0"/>
              <w:rPr>
                <w:sz w:val="26"/>
              </w:rPr>
            </w:pPr>
            <w:r>
              <w:rPr>
                <w:sz w:val="26"/>
                <w:rtl/>
              </w:rPr>
              <w:t>מטרה</w:t>
            </w:r>
          </w:p>
        </w:tc>
        <w:tc>
          <w:tcPr>
            <w:tcW w:w="624" w:type="dxa"/>
            <w:hideMark/>
          </w:tcPr>
          <w:p w14:paraId="10E2C6AE" w14:textId="77777777" w:rsidR="0091067E" w:rsidRDefault="0091067E" w:rsidP="00404D14">
            <w:pPr>
              <w:pStyle w:val="TableText"/>
              <w:rPr>
                <w:sz w:val="26"/>
              </w:rPr>
            </w:pPr>
            <w:r>
              <w:rPr>
                <w:sz w:val="26"/>
                <w:rtl/>
              </w:rPr>
              <w:t>1.</w:t>
            </w:r>
          </w:p>
        </w:tc>
        <w:tc>
          <w:tcPr>
            <w:tcW w:w="7146" w:type="dxa"/>
            <w:gridSpan w:val="4"/>
            <w:hideMark/>
          </w:tcPr>
          <w:p w14:paraId="66ECB416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מטרתו של חוק זה לקבוע את יום ראשון כיום מנוחה לעובד ששבוע עבודתו הוא של 5 ימים, במקום יום שישי, וכך להתאים את שבוע העבודה לזה הנהוג במדינות רבות בעולם, והכל תוך שמירה על זכויות העובדים ואמונתם הדתית ועל זכויות המעסיקים וברוח חוק-יסוד: כבוד האדם וחירותו</w:t>
            </w:r>
            <w:r>
              <w:rPr>
                <w:rStyle w:val="a6"/>
                <w:sz w:val="26"/>
                <w:rtl/>
              </w:rPr>
              <w:footnoteReference w:id="2"/>
            </w:r>
            <w:r>
              <w:rPr>
                <w:sz w:val="26"/>
                <w:rtl/>
              </w:rPr>
              <w:t xml:space="preserve"> .</w:t>
            </w:r>
          </w:p>
        </w:tc>
      </w:tr>
      <w:tr w:rsidR="0091067E" w:rsidRPr="00CA5A2B" w14:paraId="379E64B1" w14:textId="77777777" w:rsidTr="00404D14">
        <w:trPr>
          <w:cantSplit/>
        </w:trPr>
        <w:tc>
          <w:tcPr>
            <w:tcW w:w="1871" w:type="dxa"/>
            <w:hideMark/>
          </w:tcPr>
          <w:p w14:paraId="34310BF0" w14:textId="77777777" w:rsidR="0091067E" w:rsidRDefault="0091067E" w:rsidP="00404D14">
            <w:pPr>
              <w:pStyle w:val="TableSideHeading"/>
              <w:ind w:right="0"/>
              <w:rPr>
                <w:sz w:val="26"/>
              </w:rPr>
            </w:pPr>
            <w:r>
              <w:rPr>
                <w:sz w:val="26"/>
                <w:rtl/>
              </w:rPr>
              <w:t>יום ראשון – יום מנוחה</w:t>
            </w:r>
          </w:p>
        </w:tc>
        <w:tc>
          <w:tcPr>
            <w:tcW w:w="624" w:type="dxa"/>
            <w:hideMark/>
          </w:tcPr>
          <w:p w14:paraId="58A3C16A" w14:textId="77777777" w:rsidR="0091067E" w:rsidRDefault="0091067E" w:rsidP="00404D14">
            <w:pPr>
              <w:pStyle w:val="TableText"/>
              <w:rPr>
                <w:sz w:val="26"/>
              </w:rPr>
            </w:pPr>
            <w:r>
              <w:rPr>
                <w:sz w:val="26"/>
                <w:rtl/>
              </w:rPr>
              <w:t>2.</w:t>
            </w:r>
          </w:p>
        </w:tc>
        <w:tc>
          <w:tcPr>
            <w:tcW w:w="7146" w:type="dxa"/>
            <w:gridSpan w:val="4"/>
            <w:hideMark/>
          </w:tcPr>
          <w:p w14:paraId="1D3FE770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על אף האמור בצו הרחבה או בהסכם קיבוצי, יום ראשון יהיה יום מנוחה במקום יום שישי, בהתאם להוראות חוק זה.</w:t>
            </w:r>
          </w:p>
        </w:tc>
      </w:tr>
      <w:tr w:rsidR="0091067E" w:rsidRPr="00CA5A2B" w14:paraId="53ACAACF" w14:textId="77777777" w:rsidTr="00404D14">
        <w:trPr>
          <w:cantSplit/>
        </w:trPr>
        <w:tc>
          <w:tcPr>
            <w:tcW w:w="1871" w:type="dxa"/>
            <w:hideMark/>
          </w:tcPr>
          <w:p w14:paraId="5289AC32" w14:textId="77777777" w:rsidR="0091067E" w:rsidRDefault="0091067E" w:rsidP="00404D14">
            <w:pPr>
              <w:pStyle w:val="TableSideHeading"/>
              <w:ind w:right="0"/>
              <w:rPr>
                <w:sz w:val="26"/>
              </w:rPr>
            </w:pPr>
            <w:r>
              <w:rPr>
                <w:sz w:val="26"/>
                <w:rtl/>
              </w:rPr>
              <w:t>תיקון חוק שעות עבודה ומנוחה</w:t>
            </w:r>
          </w:p>
        </w:tc>
        <w:tc>
          <w:tcPr>
            <w:tcW w:w="624" w:type="dxa"/>
            <w:hideMark/>
          </w:tcPr>
          <w:p w14:paraId="069FE876" w14:textId="77777777" w:rsidR="0091067E" w:rsidRDefault="0091067E" w:rsidP="00404D14">
            <w:pPr>
              <w:pStyle w:val="TableText"/>
              <w:rPr>
                <w:sz w:val="26"/>
              </w:rPr>
            </w:pPr>
            <w:r>
              <w:rPr>
                <w:sz w:val="26"/>
                <w:rtl/>
              </w:rPr>
              <w:t>3.</w:t>
            </w:r>
          </w:p>
        </w:tc>
        <w:tc>
          <w:tcPr>
            <w:tcW w:w="7146" w:type="dxa"/>
            <w:gridSpan w:val="4"/>
            <w:hideMark/>
          </w:tcPr>
          <w:p w14:paraId="3FA5B8BB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 xml:space="preserve">בחוק שעות עבודה ומנוחה, </w:t>
            </w:r>
            <w:proofErr w:type="spellStart"/>
            <w:r>
              <w:rPr>
                <w:sz w:val="26"/>
                <w:rtl/>
              </w:rPr>
              <w:t>התשי"א</w:t>
            </w:r>
            <w:proofErr w:type="spellEnd"/>
            <w:r>
              <w:rPr>
                <w:sz w:val="26"/>
                <w:rtl/>
              </w:rPr>
              <w:t>–1951</w:t>
            </w:r>
            <w:r>
              <w:rPr>
                <w:rStyle w:val="a6"/>
                <w:sz w:val="26"/>
                <w:rtl/>
              </w:rPr>
              <w:footnoteReference w:id="3"/>
            </w:r>
            <w:r>
              <w:rPr>
                <w:sz w:val="26"/>
                <w:rtl/>
              </w:rPr>
              <w:t xml:space="preserve"> –</w:t>
            </w:r>
          </w:p>
        </w:tc>
      </w:tr>
      <w:tr w:rsidR="0091067E" w:rsidRPr="00CA5A2B" w14:paraId="5F557682" w14:textId="77777777" w:rsidTr="00404D14">
        <w:trPr>
          <w:cantSplit/>
        </w:trPr>
        <w:tc>
          <w:tcPr>
            <w:tcW w:w="1871" w:type="dxa"/>
          </w:tcPr>
          <w:p w14:paraId="2221AEFA" w14:textId="77777777" w:rsidR="0091067E" w:rsidRDefault="0091067E" w:rsidP="00404D14">
            <w:pPr>
              <w:pStyle w:val="TableSideHeading"/>
              <w:ind w:right="0"/>
              <w:rPr>
                <w:sz w:val="26"/>
                <w:rtl/>
              </w:rPr>
            </w:pPr>
          </w:p>
        </w:tc>
        <w:tc>
          <w:tcPr>
            <w:tcW w:w="624" w:type="dxa"/>
          </w:tcPr>
          <w:p w14:paraId="01427641" w14:textId="77777777" w:rsidR="0091067E" w:rsidRDefault="0091067E" w:rsidP="00404D14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4"/>
          </w:tcPr>
          <w:p w14:paraId="6DBF4F63" w14:textId="77777777" w:rsidR="0091067E" w:rsidRDefault="0091067E" w:rsidP="00404D14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 xml:space="preserve">(1) </w:t>
            </w:r>
            <w:r>
              <w:rPr>
                <w:sz w:val="26"/>
                <w:rtl/>
              </w:rPr>
              <w:tab/>
              <w:t>בסעיף 2 –</w:t>
            </w:r>
          </w:p>
        </w:tc>
      </w:tr>
      <w:tr w:rsidR="0091067E" w14:paraId="27CC00F0" w14:textId="77777777" w:rsidTr="00404D14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14:paraId="6CB05408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4394ABF2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3995321D" w14:textId="77777777" w:rsidR="0091067E" w:rsidRDefault="0091067E" w:rsidP="00404D14">
            <w:pPr>
              <w:pStyle w:val="TableText"/>
            </w:pPr>
          </w:p>
        </w:tc>
        <w:tc>
          <w:tcPr>
            <w:tcW w:w="6522" w:type="dxa"/>
            <w:gridSpan w:val="3"/>
          </w:tcPr>
          <w:p w14:paraId="2BB05C27" w14:textId="77777777" w:rsidR="0091067E" w:rsidRDefault="0091067E" w:rsidP="00404D14">
            <w:pPr>
              <w:pStyle w:val="TableBlock"/>
            </w:pPr>
            <w:r>
              <w:rPr>
                <w:sz w:val="26"/>
                <w:rtl/>
              </w:rPr>
              <w:t>(א)</w:t>
            </w:r>
            <w:r>
              <w:rPr>
                <w:sz w:val="26"/>
                <w:rtl/>
              </w:rPr>
              <w:tab/>
              <w:t xml:space="preserve"> בסעיף קטן (א), במקום "שמונה" יבוא "תשע";</w:t>
            </w:r>
          </w:p>
        </w:tc>
      </w:tr>
      <w:tr w:rsidR="0091067E" w14:paraId="47BBCD28" w14:textId="77777777" w:rsidTr="00404D14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14:paraId="584CB693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120518DF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6897D2F7" w14:textId="77777777" w:rsidR="0091067E" w:rsidRDefault="0091067E" w:rsidP="00404D14">
            <w:pPr>
              <w:pStyle w:val="TableText"/>
            </w:pPr>
          </w:p>
        </w:tc>
        <w:tc>
          <w:tcPr>
            <w:tcW w:w="6522" w:type="dxa"/>
            <w:gridSpan w:val="3"/>
          </w:tcPr>
          <w:p w14:paraId="2385312A" w14:textId="77777777" w:rsidR="0091067E" w:rsidRDefault="0091067E" w:rsidP="00404D14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 xml:space="preserve">(ב) </w:t>
            </w:r>
            <w:r>
              <w:rPr>
                <w:sz w:val="26"/>
                <w:rtl/>
              </w:rPr>
              <w:tab/>
              <w:t xml:space="preserve">בסעיף קטן (ב), במקום "בעבודת לילה וביום" יבוא "ביום",  ובסופו יבוא "ולא יימשך מעבר לשעה 13:00 לפי הזמן בישראל כמשמעותו בחוק קביעת הזמן, </w:t>
            </w:r>
            <w:proofErr w:type="spellStart"/>
            <w:r>
              <w:rPr>
                <w:sz w:val="26"/>
                <w:rtl/>
              </w:rPr>
              <w:t>התשנ"ב</w:t>
            </w:r>
            <w:proofErr w:type="spellEnd"/>
            <w:r>
              <w:rPr>
                <w:sz w:val="26"/>
                <w:rtl/>
              </w:rPr>
              <w:t>–1992</w:t>
            </w:r>
            <w:r>
              <w:rPr>
                <w:rStyle w:val="a6"/>
                <w:sz w:val="26"/>
                <w:rtl/>
              </w:rPr>
              <w:footnoteReference w:id="4"/>
            </w:r>
            <w:r>
              <w:rPr>
                <w:sz w:val="26"/>
                <w:rtl/>
              </w:rPr>
              <w:t>, ובתקופה שבה הוקדם הזמן בישראל לפי סעיף 3 לחוק האמור – לא יימשך מעבר לשעה 14:00;";</w:t>
            </w:r>
          </w:p>
        </w:tc>
      </w:tr>
      <w:tr w:rsidR="0091067E" w14:paraId="45349946" w14:textId="77777777" w:rsidTr="00404D14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14:paraId="0ABA5A84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2A2F2B68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6EA10A1F" w14:textId="77777777" w:rsidR="0091067E" w:rsidRDefault="0091067E" w:rsidP="00404D14">
            <w:pPr>
              <w:pStyle w:val="TableText"/>
            </w:pPr>
          </w:p>
        </w:tc>
        <w:tc>
          <w:tcPr>
            <w:tcW w:w="6522" w:type="dxa"/>
            <w:gridSpan w:val="3"/>
          </w:tcPr>
          <w:p w14:paraId="330E4332" w14:textId="77777777" w:rsidR="0091067E" w:rsidRDefault="0091067E" w:rsidP="00404D14">
            <w:pPr>
              <w:pStyle w:val="TableBlock"/>
              <w:rPr>
                <w:sz w:val="26"/>
                <w:rtl/>
              </w:rPr>
            </w:pPr>
            <w:r>
              <w:rPr>
                <w:sz w:val="26"/>
                <w:rtl/>
              </w:rPr>
              <w:t xml:space="preserve">(ג) </w:t>
            </w:r>
            <w:r>
              <w:rPr>
                <w:sz w:val="26"/>
                <w:rtl/>
              </w:rPr>
              <w:tab/>
              <w:t xml:space="preserve">אחרי סעיף קטן (ב) יבוא:  </w:t>
            </w:r>
          </w:p>
        </w:tc>
      </w:tr>
      <w:tr w:rsidR="0091067E" w14:paraId="062C428E" w14:textId="77777777" w:rsidTr="00404D14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14:paraId="0DE8F08B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3C60BD5E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664D93D1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492C9C81" w14:textId="77777777" w:rsidR="0091067E" w:rsidRDefault="0091067E" w:rsidP="00404D14">
            <w:pPr>
              <w:pStyle w:val="TableText"/>
            </w:pPr>
          </w:p>
        </w:tc>
        <w:tc>
          <w:tcPr>
            <w:tcW w:w="5898" w:type="dxa"/>
            <w:gridSpan w:val="2"/>
          </w:tcPr>
          <w:p w14:paraId="4F7CEA10" w14:textId="77777777" w:rsidR="0091067E" w:rsidRDefault="0091067E" w:rsidP="00404D14">
            <w:pPr>
              <w:pStyle w:val="TableBlock"/>
            </w:pPr>
            <w:r>
              <w:rPr>
                <w:sz w:val="26"/>
                <w:rtl/>
              </w:rPr>
              <w:t>"(ג)</w:t>
            </w:r>
            <w:r>
              <w:rPr>
                <w:sz w:val="26"/>
                <w:rtl/>
              </w:rPr>
              <w:tab/>
              <w:t>בעבודת לילה לא יעלה יום העבודה על שבע שעות עבודה.";</w:t>
            </w:r>
          </w:p>
        </w:tc>
      </w:tr>
      <w:tr w:rsidR="0091067E" w:rsidRPr="00CA5A2B" w14:paraId="78CD1155" w14:textId="77777777" w:rsidTr="00404D14">
        <w:trPr>
          <w:cantSplit/>
        </w:trPr>
        <w:tc>
          <w:tcPr>
            <w:tcW w:w="1871" w:type="dxa"/>
          </w:tcPr>
          <w:p w14:paraId="6B01F3C9" w14:textId="77777777" w:rsidR="0091067E" w:rsidRDefault="0091067E" w:rsidP="00404D14">
            <w:pPr>
              <w:pStyle w:val="TableSideHeading"/>
              <w:rPr>
                <w:sz w:val="26"/>
              </w:rPr>
            </w:pPr>
          </w:p>
        </w:tc>
        <w:tc>
          <w:tcPr>
            <w:tcW w:w="624" w:type="dxa"/>
          </w:tcPr>
          <w:p w14:paraId="44F25AAF" w14:textId="77777777" w:rsidR="0091067E" w:rsidRDefault="0091067E" w:rsidP="00404D14">
            <w:pPr>
              <w:pStyle w:val="TableText"/>
              <w:rPr>
                <w:sz w:val="26"/>
              </w:rPr>
            </w:pPr>
          </w:p>
        </w:tc>
        <w:tc>
          <w:tcPr>
            <w:tcW w:w="7146" w:type="dxa"/>
            <w:gridSpan w:val="4"/>
            <w:hideMark/>
          </w:tcPr>
          <w:p w14:paraId="208DBE5F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(2)</w:t>
            </w:r>
            <w:r>
              <w:rPr>
                <w:sz w:val="26"/>
                <w:rtl/>
              </w:rPr>
              <w:tab/>
              <w:t xml:space="preserve">בסעיף 7 –  </w:t>
            </w:r>
          </w:p>
        </w:tc>
      </w:tr>
      <w:tr w:rsidR="0091067E" w:rsidRPr="00CA5A2B" w14:paraId="52179B2C" w14:textId="77777777" w:rsidTr="00404D14">
        <w:trPr>
          <w:cantSplit/>
        </w:trPr>
        <w:tc>
          <w:tcPr>
            <w:tcW w:w="1871" w:type="dxa"/>
          </w:tcPr>
          <w:p w14:paraId="6E1EED60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338573B0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21B3EB80" w14:textId="77777777" w:rsidR="0091067E" w:rsidRDefault="0091067E" w:rsidP="00404D14">
            <w:pPr>
              <w:pStyle w:val="TableText"/>
            </w:pPr>
          </w:p>
        </w:tc>
        <w:tc>
          <w:tcPr>
            <w:tcW w:w="6522" w:type="dxa"/>
            <w:gridSpan w:val="3"/>
            <w:hideMark/>
          </w:tcPr>
          <w:p w14:paraId="0E5E48B2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(א)</w:t>
            </w:r>
            <w:r>
              <w:rPr>
                <w:sz w:val="26"/>
                <w:rtl/>
              </w:rPr>
              <w:tab/>
              <w:t>בסעיף קטן (א), במקום "שלושים ושש" יבוא "ארבעים ושמונה";</w:t>
            </w:r>
          </w:p>
        </w:tc>
      </w:tr>
      <w:tr w:rsidR="0091067E" w:rsidRPr="00CA5A2B" w14:paraId="15543A76" w14:textId="77777777" w:rsidTr="00404D14">
        <w:trPr>
          <w:cantSplit/>
        </w:trPr>
        <w:tc>
          <w:tcPr>
            <w:tcW w:w="1871" w:type="dxa"/>
          </w:tcPr>
          <w:p w14:paraId="6EA8BDE6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5A8A155E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7E6297E1" w14:textId="77777777" w:rsidR="0091067E" w:rsidRDefault="0091067E" w:rsidP="00404D14">
            <w:pPr>
              <w:pStyle w:val="TableText"/>
            </w:pPr>
          </w:p>
        </w:tc>
        <w:tc>
          <w:tcPr>
            <w:tcW w:w="6522" w:type="dxa"/>
            <w:gridSpan w:val="3"/>
            <w:hideMark/>
          </w:tcPr>
          <w:p w14:paraId="27697FB0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(ב)</w:t>
            </w:r>
            <w:r>
              <w:rPr>
                <w:sz w:val="26"/>
                <w:rtl/>
              </w:rPr>
              <w:tab/>
              <w:t>בסעיף קטן (ב) –</w:t>
            </w:r>
          </w:p>
        </w:tc>
      </w:tr>
      <w:tr w:rsidR="0091067E" w:rsidRPr="00CA5A2B" w14:paraId="60B500F0" w14:textId="77777777" w:rsidTr="00404D14">
        <w:trPr>
          <w:cantSplit/>
        </w:trPr>
        <w:tc>
          <w:tcPr>
            <w:tcW w:w="1871" w:type="dxa"/>
          </w:tcPr>
          <w:p w14:paraId="5B538B32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2F0FDE33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0ECC06A0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4426CF2A" w14:textId="77777777" w:rsidR="0091067E" w:rsidRDefault="0091067E" w:rsidP="00404D14">
            <w:pPr>
              <w:pStyle w:val="TableText"/>
            </w:pPr>
          </w:p>
        </w:tc>
        <w:tc>
          <w:tcPr>
            <w:tcW w:w="5898" w:type="dxa"/>
            <w:gridSpan w:val="2"/>
            <w:hideMark/>
          </w:tcPr>
          <w:p w14:paraId="1FE64A16" w14:textId="77777777" w:rsidR="0091067E" w:rsidRDefault="0091067E" w:rsidP="00404D14">
            <w:pPr>
              <w:pStyle w:val="TableBlock"/>
            </w:pPr>
            <w:r>
              <w:rPr>
                <w:sz w:val="26"/>
                <w:rtl/>
              </w:rPr>
              <w:t>(1)</w:t>
            </w:r>
            <w:r>
              <w:rPr>
                <w:sz w:val="26"/>
                <w:rtl/>
              </w:rPr>
              <w:tab/>
              <w:t>בפסקה (1), אחרי "יום השבת" יבוא "ואת יום ראשון כיום מנוחה נוסף";</w:t>
            </w:r>
          </w:p>
        </w:tc>
      </w:tr>
      <w:tr w:rsidR="0091067E" w:rsidRPr="00CA5A2B" w14:paraId="4611CDD6" w14:textId="77777777" w:rsidTr="00404D14">
        <w:trPr>
          <w:cantSplit/>
        </w:trPr>
        <w:tc>
          <w:tcPr>
            <w:tcW w:w="1871" w:type="dxa"/>
          </w:tcPr>
          <w:p w14:paraId="1AF1D3F4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4A5CE62C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68F6F81B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659900A5" w14:textId="77777777" w:rsidR="0091067E" w:rsidRDefault="0091067E" w:rsidP="00404D14">
            <w:pPr>
              <w:pStyle w:val="TableText"/>
            </w:pPr>
          </w:p>
        </w:tc>
        <w:tc>
          <w:tcPr>
            <w:tcW w:w="5898" w:type="dxa"/>
            <w:gridSpan w:val="2"/>
            <w:hideMark/>
          </w:tcPr>
          <w:p w14:paraId="39BA95CE" w14:textId="77777777" w:rsidR="0091067E" w:rsidRDefault="0091067E" w:rsidP="00404D14">
            <w:pPr>
              <w:pStyle w:val="TableBlock"/>
            </w:pPr>
            <w:r>
              <w:rPr>
                <w:sz w:val="26"/>
                <w:rtl/>
              </w:rPr>
              <w:t>(2)</w:t>
            </w:r>
            <w:r>
              <w:rPr>
                <w:sz w:val="26"/>
                <w:rtl/>
              </w:rPr>
              <w:tab/>
              <w:t>במקום פסקה (2) יבוא:</w:t>
            </w:r>
            <w:r>
              <w:t xml:space="preserve">  </w:t>
            </w:r>
          </w:p>
        </w:tc>
      </w:tr>
      <w:tr w:rsidR="0091067E" w14:paraId="5366B1BF" w14:textId="77777777" w:rsidTr="00404D14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14:paraId="341267F4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412AD3FB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231323F2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3056B3A3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09363AF3" w14:textId="77777777" w:rsidR="0091067E" w:rsidRDefault="0091067E" w:rsidP="00404D14">
            <w:pPr>
              <w:pStyle w:val="TableText"/>
            </w:pPr>
          </w:p>
        </w:tc>
        <w:tc>
          <w:tcPr>
            <w:tcW w:w="5274" w:type="dxa"/>
          </w:tcPr>
          <w:p w14:paraId="008041BD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"(2)</w:t>
            </w:r>
            <w:r>
              <w:rPr>
                <w:sz w:val="26"/>
                <w:rtl/>
              </w:rPr>
              <w:tab/>
              <w:t>לגבי מי שאינו יהודי – את יום השבת וכן את יום ראשון או את יום שישי בשבוע, לפי המקובל עליו, כיום מנוחה נוסף.";</w:t>
            </w:r>
          </w:p>
        </w:tc>
      </w:tr>
      <w:tr w:rsidR="0091067E" w:rsidRPr="00CA5A2B" w14:paraId="353BE980" w14:textId="77777777" w:rsidTr="00404D14">
        <w:trPr>
          <w:cantSplit/>
        </w:trPr>
        <w:tc>
          <w:tcPr>
            <w:tcW w:w="1871" w:type="dxa"/>
          </w:tcPr>
          <w:p w14:paraId="25BDCE2C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7D9B2E7F" w14:textId="77777777" w:rsidR="0091067E" w:rsidRDefault="0091067E" w:rsidP="00404D14">
            <w:pPr>
              <w:pStyle w:val="TableText"/>
            </w:pPr>
          </w:p>
        </w:tc>
        <w:tc>
          <w:tcPr>
            <w:tcW w:w="7146" w:type="dxa"/>
            <w:gridSpan w:val="4"/>
            <w:hideMark/>
          </w:tcPr>
          <w:p w14:paraId="4553A709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(3)</w:t>
            </w:r>
            <w:r>
              <w:rPr>
                <w:sz w:val="26"/>
                <w:rtl/>
              </w:rPr>
              <w:tab/>
              <w:t>בסעיף 9, האמור בו יסומן "(א)", ואחריו יבוא:</w:t>
            </w:r>
          </w:p>
        </w:tc>
      </w:tr>
      <w:tr w:rsidR="0091067E" w:rsidRPr="00CA5A2B" w14:paraId="2CA4DEC8" w14:textId="77777777" w:rsidTr="00404D14">
        <w:trPr>
          <w:cantSplit/>
        </w:trPr>
        <w:tc>
          <w:tcPr>
            <w:tcW w:w="1871" w:type="dxa"/>
          </w:tcPr>
          <w:p w14:paraId="5679962F" w14:textId="77777777" w:rsidR="0091067E" w:rsidRDefault="0091067E" w:rsidP="00404D14">
            <w:pPr>
              <w:pStyle w:val="TableSideHeading"/>
            </w:pPr>
          </w:p>
        </w:tc>
        <w:tc>
          <w:tcPr>
            <w:tcW w:w="624" w:type="dxa"/>
          </w:tcPr>
          <w:p w14:paraId="11837C3E" w14:textId="77777777" w:rsidR="0091067E" w:rsidRDefault="0091067E" w:rsidP="00404D14">
            <w:pPr>
              <w:pStyle w:val="TableText"/>
            </w:pPr>
          </w:p>
        </w:tc>
        <w:tc>
          <w:tcPr>
            <w:tcW w:w="624" w:type="dxa"/>
          </w:tcPr>
          <w:p w14:paraId="7C4210F7" w14:textId="77777777" w:rsidR="0091067E" w:rsidRDefault="0091067E" w:rsidP="00404D14">
            <w:pPr>
              <w:pStyle w:val="TableText"/>
            </w:pPr>
          </w:p>
        </w:tc>
        <w:tc>
          <w:tcPr>
            <w:tcW w:w="6522" w:type="dxa"/>
            <w:gridSpan w:val="3"/>
            <w:hideMark/>
          </w:tcPr>
          <w:p w14:paraId="0D91C7A6" w14:textId="20C84665" w:rsidR="0091067E" w:rsidRDefault="0091067E" w:rsidP="00736DE8">
            <w:pPr>
              <w:pStyle w:val="TableBlock"/>
            </w:pPr>
            <w:r>
              <w:rPr>
                <w:sz w:val="26"/>
                <w:rtl/>
              </w:rPr>
              <w:t>"(ב)</w:t>
            </w:r>
            <w:r>
              <w:rPr>
                <w:sz w:val="26"/>
                <w:rtl/>
              </w:rPr>
              <w:tab/>
              <w:t xml:space="preserve">על אף האמור בסעיף קטן (א), רשאי שר </w:t>
            </w:r>
            <w:r w:rsidR="00736DE8">
              <w:rPr>
                <w:rFonts w:hint="cs"/>
                <w:sz w:val="26"/>
                <w:rtl/>
              </w:rPr>
              <w:t xml:space="preserve">הכלכלה והתעשייה </w:t>
            </w:r>
            <w:r>
              <w:rPr>
                <w:sz w:val="26"/>
                <w:rtl/>
              </w:rPr>
              <w:t>לקבוע הוראות בדבר סוגי שירותים או פעילויות אשר בהם תהיה מותרת העסקת עובד ביום המנוחה הנוסף."</w:t>
            </w:r>
          </w:p>
        </w:tc>
      </w:tr>
      <w:tr w:rsidR="0091067E" w:rsidRPr="00CA5A2B" w14:paraId="6590A7FA" w14:textId="77777777" w:rsidTr="00404D14">
        <w:trPr>
          <w:cantSplit/>
        </w:trPr>
        <w:tc>
          <w:tcPr>
            <w:tcW w:w="1871" w:type="dxa"/>
            <w:hideMark/>
          </w:tcPr>
          <w:p w14:paraId="4C037054" w14:textId="77777777" w:rsidR="0091067E" w:rsidRDefault="0091067E" w:rsidP="00404D14">
            <w:pPr>
              <w:pStyle w:val="TableSideHeading"/>
            </w:pPr>
            <w:r>
              <w:rPr>
                <w:sz w:val="26"/>
                <w:rtl/>
              </w:rPr>
              <w:t>תחילה ותחולה</w:t>
            </w:r>
          </w:p>
        </w:tc>
        <w:tc>
          <w:tcPr>
            <w:tcW w:w="624" w:type="dxa"/>
            <w:hideMark/>
          </w:tcPr>
          <w:p w14:paraId="3AF91FE8" w14:textId="77777777" w:rsidR="0091067E" w:rsidRDefault="0091067E" w:rsidP="00404D14">
            <w:pPr>
              <w:pStyle w:val="TableText"/>
            </w:pPr>
            <w:r>
              <w:rPr>
                <w:sz w:val="26"/>
                <w:rtl/>
              </w:rPr>
              <w:t>4.</w:t>
            </w:r>
          </w:p>
        </w:tc>
        <w:tc>
          <w:tcPr>
            <w:tcW w:w="7146" w:type="dxa"/>
            <w:gridSpan w:val="4"/>
            <w:hideMark/>
          </w:tcPr>
          <w:p w14:paraId="0249D583" w14:textId="77777777" w:rsidR="0091067E" w:rsidRDefault="0091067E" w:rsidP="00404D14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תחילתו של חוק זה ___</w:t>
            </w:r>
            <w:r>
              <w:rPr>
                <w:rStyle w:val="a6"/>
                <w:sz w:val="26"/>
                <w:rtl/>
              </w:rPr>
              <w:footnoteReference w:customMarkFollows="1" w:id="5"/>
              <w:t xml:space="preserve">*   </w:t>
            </w:r>
            <w:r>
              <w:rPr>
                <w:sz w:val="26"/>
                <w:rtl/>
              </w:rPr>
              <w:t xml:space="preserve">מיום פרסומו, והוא יחול על עובד שחל עליו הסכם קיבוצי כללי או צו הרחבה בעניין מעבר לשבוע עבודה של חמישה ימים. 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67CD7158" w14:textId="77777777" w:rsidR="0091067E" w:rsidRPr="00183FE8" w:rsidRDefault="0091067E" w:rsidP="0091067E">
      <w:pPr>
        <w:pStyle w:val="Hesber"/>
        <w:rPr>
          <w:rtl/>
        </w:rPr>
      </w:pPr>
      <w:r w:rsidRPr="00183FE8">
        <w:rPr>
          <w:rtl/>
        </w:rPr>
        <w:t>ברוב מדינות העולם המתקדמות נוהגים שני ימי מנוחה מלאים, בדרך כלל</w:t>
      </w:r>
      <w:r>
        <w:rPr>
          <w:rtl/>
        </w:rPr>
        <w:t>,</w:t>
      </w:r>
      <w:r w:rsidRPr="00183FE8">
        <w:rPr>
          <w:rtl/>
        </w:rPr>
        <w:t xml:space="preserve"> ימי שבת וראשון. </w:t>
      </w:r>
      <w:r>
        <w:rPr>
          <w:rtl/>
        </w:rPr>
        <w:t>מוצע</w:t>
      </w:r>
      <w:r w:rsidRPr="00183FE8">
        <w:rPr>
          <w:rtl/>
        </w:rPr>
        <w:t xml:space="preserve"> להתאים את שבוע העבודה הנהוג במדינת ישראל לזה הנהוג בעולם המודרני בכלל ובשוקי ההון הגלובליים </w:t>
      </w:r>
      <w:r w:rsidRPr="00183FE8">
        <w:rPr>
          <w:rtl/>
        </w:rPr>
        <w:lastRenderedPageBreak/>
        <w:t>בפרט. הוספת יום ראשון כיום מנוחה, הוספת חצי יום עבודה בימי שישי ועוד חצי שעת עבודה נוספת בימים שני עד חמישי תאפשר לאזרחי מדינת ישראל ל</w:t>
      </w:r>
      <w:r>
        <w:rPr>
          <w:rtl/>
        </w:rPr>
        <w:t>י</w:t>
      </w:r>
      <w:r w:rsidRPr="00183FE8">
        <w:rPr>
          <w:rtl/>
        </w:rPr>
        <w:t>הנות מסוף שבוע מלא בסטנדרט בינלאומי וזאת בלי לפגוע בתפוקת שבוע העבודה.</w:t>
      </w:r>
    </w:p>
    <w:p w14:paraId="4F822B56" w14:textId="77777777" w:rsidR="0091067E" w:rsidRDefault="0091067E" w:rsidP="0091067E">
      <w:pPr>
        <w:pStyle w:val="Hesber"/>
        <w:rPr>
          <w:rtl/>
        </w:rPr>
      </w:pPr>
      <w:r w:rsidRPr="00183FE8">
        <w:rPr>
          <w:rtl/>
        </w:rPr>
        <w:t xml:space="preserve">הצעות חוק דומות בעיקרן הונחו על שולחן הכנסת השמונה-עשרה על ידי חברי הכנסת יריב לוין וזאב </w:t>
      </w:r>
      <w:proofErr w:type="spellStart"/>
      <w:r w:rsidRPr="00183FE8">
        <w:rPr>
          <w:rtl/>
        </w:rPr>
        <w:t>אלקין</w:t>
      </w:r>
      <w:proofErr w:type="spellEnd"/>
      <w:r w:rsidRPr="00183FE8">
        <w:rPr>
          <w:rtl/>
        </w:rPr>
        <w:t xml:space="preserve"> (פ/3422/18) ועל ידי חבר הכנסת איתן כבל (פ/3920/18). </w:t>
      </w:r>
    </w:p>
    <w:p w14:paraId="4FC5716F" w14:textId="6A8201E9" w:rsidR="0091067E" w:rsidRDefault="0091067E" w:rsidP="00736DE8">
      <w:pPr>
        <w:pStyle w:val="Hesber"/>
        <w:rPr>
          <w:rtl/>
        </w:rPr>
      </w:pPr>
      <w:r>
        <w:rPr>
          <w:rtl/>
        </w:rPr>
        <w:t>הצע</w:t>
      </w:r>
      <w:r w:rsidR="00736DE8">
        <w:rPr>
          <w:rFonts w:hint="cs"/>
          <w:rtl/>
        </w:rPr>
        <w:t>ו</w:t>
      </w:r>
      <w:r>
        <w:rPr>
          <w:rtl/>
        </w:rPr>
        <w:t>ת חוק זה</w:t>
      </w:r>
      <w:r w:rsidR="00736DE8">
        <w:rPr>
          <w:rFonts w:hint="cs"/>
          <w:rtl/>
        </w:rPr>
        <w:t>ות</w:t>
      </w:r>
      <w:r>
        <w:rPr>
          <w:rtl/>
        </w:rPr>
        <w:t xml:space="preserve"> הונח</w:t>
      </w:r>
      <w:r w:rsidR="00736DE8">
        <w:rPr>
          <w:rFonts w:hint="cs"/>
          <w:rtl/>
        </w:rPr>
        <w:t>ו</w:t>
      </w:r>
      <w:r>
        <w:rPr>
          <w:rtl/>
        </w:rPr>
        <w:t xml:space="preserve"> על שולחן הכנסת התשע-עשרה על ידי חברי הכנסת יריב לוין וזאב </w:t>
      </w:r>
      <w:proofErr w:type="spellStart"/>
      <w:r>
        <w:rPr>
          <w:rtl/>
        </w:rPr>
        <w:t>אלקין</w:t>
      </w:r>
      <w:proofErr w:type="spellEnd"/>
      <w:r>
        <w:rPr>
          <w:rtl/>
        </w:rPr>
        <w:t xml:space="preserve"> (פ/805/19)</w:t>
      </w:r>
      <w:r w:rsidR="00736DE8">
        <w:rPr>
          <w:rFonts w:hint="cs"/>
          <w:rtl/>
        </w:rPr>
        <w:t xml:space="preserve"> ועל שולחן הכנסת העשרים על ידי חבר הכנסת ינון מגל (פ/2141/20)</w:t>
      </w:r>
      <w:r>
        <w:rPr>
          <w:rtl/>
        </w:rPr>
        <w:t xml:space="preserve">. </w:t>
      </w:r>
    </w:p>
    <w:p w14:paraId="02C7E01A" w14:textId="09A5DF76" w:rsidR="00A8073F" w:rsidRDefault="00A8073F" w:rsidP="00736DE8">
      <w:pPr>
        <w:pStyle w:val="Hesber"/>
        <w:rPr>
          <w:rtl/>
        </w:rPr>
      </w:pPr>
    </w:p>
    <w:p w14:paraId="28E8E4FF" w14:textId="77777777" w:rsidR="00A8073F" w:rsidRDefault="00A8073F" w:rsidP="00736DE8">
      <w:pPr>
        <w:pStyle w:val="Hesber"/>
        <w:rPr>
          <w:rtl/>
        </w:rPr>
      </w:pPr>
    </w:p>
    <w:p w14:paraId="3FD88E94" w14:textId="77777777" w:rsidR="00A8073F" w:rsidRDefault="00A8073F" w:rsidP="00736DE8">
      <w:pPr>
        <w:pStyle w:val="Hesber"/>
        <w:rPr>
          <w:rtl/>
        </w:rPr>
      </w:pPr>
    </w:p>
    <w:p w14:paraId="348BA453" w14:textId="77777777" w:rsidR="00A8073F" w:rsidRDefault="00A8073F" w:rsidP="00736DE8">
      <w:pPr>
        <w:pStyle w:val="Hesber"/>
        <w:rPr>
          <w:rtl/>
        </w:rPr>
      </w:pPr>
    </w:p>
    <w:p w14:paraId="049E1F81" w14:textId="77777777" w:rsidR="00A8073F" w:rsidRDefault="00A8073F" w:rsidP="00736DE8">
      <w:pPr>
        <w:pStyle w:val="Hesber"/>
        <w:rPr>
          <w:rtl/>
        </w:rPr>
      </w:pPr>
    </w:p>
    <w:p w14:paraId="694BDE6E" w14:textId="77777777" w:rsidR="00A8073F" w:rsidRDefault="00A8073F" w:rsidP="00736DE8">
      <w:pPr>
        <w:pStyle w:val="Hesber"/>
        <w:rPr>
          <w:rtl/>
        </w:rPr>
      </w:pPr>
    </w:p>
    <w:p w14:paraId="4F5034E9" w14:textId="77777777" w:rsidR="00A8073F" w:rsidRDefault="00A8073F" w:rsidP="00736DE8">
      <w:pPr>
        <w:pStyle w:val="Hesber"/>
        <w:rPr>
          <w:rtl/>
        </w:rPr>
      </w:pPr>
    </w:p>
    <w:p w14:paraId="6357BE35" w14:textId="77777777" w:rsidR="00A8073F" w:rsidRPr="00557D2C" w:rsidRDefault="00A8073F" w:rsidP="007D273A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14:paraId="3828E9AC" w14:textId="77777777" w:rsidR="00A8073F" w:rsidRPr="00557D2C" w:rsidRDefault="00A8073F" w:rsidP="007D273A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14:paraId="14992CFA" w14:textId="77777777" w:rsidR="00A8073F" w:rsidRPr="00557D2C" w:rsidRDefault="00A8073F" w:rsidP="007D273A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14:paraId="1F31B7F5" w14:textId="02E2D395" w:rsidR="00A8073F" w:rsidRPr="00183FE8" w:rsidRDefault="00A8073F" w:rsidP="00A8073F">
      <w:pPr>
        <w:pStyle w:val="Hesber"/>
        <w:rPr>
          <w:rtl/>
        </w:rPr>
      </w:pPr>
      <w:r>
        <w:rPr>
          <w:rFonts w:hint="cs"/>
          <w:rtl/>
        </w:rPr>
        <w:t xml:space="preserve">י"ג באדר א' </w:t>
      </w:r>
      <w:proofErr w:type="spellStart"/>
      <w:r>
        <w:rPr>
          <w:rFonts w:hint="cs"/>
          <w:rtl/>
        </w:rPr>
        <w:t>התשע"ו</w:t>
      </w:r>
      <w:proofErr w:type="spellEnd"/>
      <w:r w:rsidRPr="00557D2C">
        <w:rPr>
          <w:rFonts w:hint="cs"/>
          <w:rtl/>
        </w:rPr>
        <w:t xml:space="preserve"> </w:t>
      </w:r>
      <w:r w:rsidRPr="00557D2C">
        <w:rPr>
          <w:rtl/>
        </w:rPr>
        <w:t>–</w:t>
      </w:r>
      <w:r>
        <w:rPr>
          <w:rFonts w:hint="cs"/>
          <w:rtl/>
        </w:rPr>
        <w:t xml:space="preserve"> 22.2.16</w:t>
      </w:r>
    </w:p>
    <w:p w14:paraId="776DD9BA" w14:textId="77777777" w:rsidR="0091067E" w:rsidRDefault="0091067E" w:rsidP="002D1EE3">
      <w:pPr>
        <w:pStyle w:val="HeadDivreiHesber"/>
        <w:rPr>
          <w:rtl/>
        </w:rPr>
      </w:pPr>
    </w:p>
    <w:p w14:paraId="7F6961CB" w14:textId="77777777" w:rsidR="00E13C27" w:rsidRDefault="00E13C27" w:rsidP="00E13C27">
      <w:pPr>
        <w:pStyle w:val="Hesber"/>
        <w:rPr>
          <w:rtl/>
        </w:rPr>
      </w:pPr>
    </w:p>
    <w:sectPr w:rsidR="00E13C27" w:rsidSect="00A8073F">
      <w:footerReference w:type="even" r:id="rId11"/>
      <w:footerReference w:type="default" r:id="rId12"/>
      <w:pgSz w:w="11907" w:h="16840" w:code="9"/>
      <w:pgMar w:top="1134" w:right="1134" w:bottom="993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7C2FF" w14:textId="77777777" w:rsidR="00E57B2C" w:rsidRDefault="00E57B2C">
      <w:r>
        <w:separator/>
      </w:r>
    </w:p>
  </w:endnote>
  <w:endnote w:type="continuationSeparator" w:id="0">
    <w:p w14:paraId="29C54445" w14:textId="77777777" w:rsidR="00E57B2C" w:rsidRDefault="00E57B2C">
      <w:r>
        <w:continuationSeparator/>
      </w:r>
    </w:p>
  </w:endnote>
  <w:endnote w:type="continuationNotice" w:id="1">
    <w:p w14:paraId="0E093302" w14:textId="77777777" w:rsidR="00E57B2C" w:rsidRDefault="00E57B2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703208">
      <w:rPr>
        <w:rStyle w:val="ab"/>
        <w:noProof/>
        <w:rtl/>
      </w:rPr>
      <w:t>3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0C8AB" w14:textId="77777777" w:rsidR="00E57B2C" w:rsidRDefault="00E57B2C">
      <w:r>
        <w:separator/>
      </w:r>
    </w:p>
  </w:footnote>
  <w:footnote w:type="continuationSeparator" w:id="0">
    <w:p w14:paraId="62E6973B" w14:textId="77777777" w:rsidR="00E57B2C" w:rsidRDefault="00E57B2C">
      <w:r>
        <w:continuationSeparator/>
      </w:r>
    </w:p>
  </w:footnote>
  <w:footnote w:type="continuationNotice" w:id="1">
    <w:p w14:paraId="3CC271AE" w14:textId="77777777" w:rsidR="00E57B2C" w:rsidRDefault="00E57B2C"/>
  </w:footnote>
  <w:footnote w:id="2">
    <w:p w14:paraId="79891429" w14:textId="77777777" w:rsidR="0091067E" w:rsidRDefault="0091067E" w:rsidP="00A8073F">
      <w:pPr>
        <w:pStyle w:val="a4"/>
        <w:spacing w:line="360" w:lineRule="auto"/>
      </w:pPr>
      <w:r>
        <w:rPr>
          <w:rStyle w:val="a6"/>
        </w:rPr>
        <w:footnoteRef/>
      </w:r>
      <w:r>
        <w:rPr>
          <w:sz w:val="20"/>
          <w:rtl/>
        </w:rPr>
        <w:t xml:space="preserve"> ס"ח </w:t>
      </w:r>
      <w:proofErr w:type="spellStart"/>
      <w:r>
        <w:rPr>
          <w:sz w:val="20"/>
          <w:rtl/>
        </w:rPr>
        <w:t>התשנ"ב</w:t>
      </w:r>
      <w:proofErr w:type="spellEnd"/>
      <w:r>
        <w:rPr>
          <w:sz w:val="20"/>
          <w:rtl/>
        </w:rPr>
        <w:t>, עמ' 150.</w:t>
      </w:r>
    </w:p>
  </w:footnote>
  <w:footnote w:id="3">
    <w:p w14:paraId="1AD760C8" w14:textId="77777777" w:rsidR="0091067E" w:rsidRDefault="0091067E" w:rsidP="00A8073F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</w:t>
      </w:r>
      <w:proofErr w:type="spellStart"/>
      <w:r>
        <w:rPr>
          <w:sz w:val="20"/>
          <w:rtl/>
        </w:rPr>
        <w:t>התשי"א</w:t>
      </w:r>
      <w:proofErr w:type="spellEnd"/>
      <w:r>
        <w:rPr>
          <w:sz w:val="20"/>
          <w:rtl/>
        </w:rPr>
        <w:t>, עמ' 204.</w:t>
      </w:r>
    </w:p>
  </w:footnote>
  <w:footnote w:id="4">
    <w:p w14:paraId="53A8A41C" w14:textId="77777777" w:rsidR="0091067E" w:rsidRDefault="0091067E" w:rsidP="00A8073F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</w:t>
      </w:r>
      <w:proofErr w:type="spellStart"/>
      <w:r>
        <w:rPr>
          <w:sz w:val="20"/>
          <w:rtl/>
        </w:rPr>
        <w:t>התשנ"ב</w:t>
      </w:r>
      <w:proofErr w:type="spellEnd"/>
      <w:r>
        <w:rPr>
          <w:sz w:val="20"/>
          <w:rtl/>
        </w:rPr>
        <w:t>, עמ' 137.</w:t>
      </w:r>
    </w:p>
  </w:footnote>
  <w:footnote w:id="5">
    <w:p w14:paraId="07AC9CA5" w14:textId="77777777" w:rsidR="0091067E" w:rsidRDefault="0091067E" w:rsidP="00A8073F">
      <w:pPr>
        <w:pStyle w:val="a4"/>
        <w:spacing w:line="360" w:lineRule="auto"/>
      </w:pPr>
      <w:r>
        <w:rPr>
          <w:rStyle w:val="a6"/>
          <w:sz w:val="20"/>
          <w:rtl/>
        </w:rPr>
        <w:t>*</w:t>
      </w:r>
      <w:r>
        <w:rPr>
          <w:sz w:val="20"/>
          <w:rtl/>
        </w:rPr>
        <w:t xml:space="preserve"> מועד התחילה ייקבע בעת הכנת הצעת החוק לקריאה הראשונה.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57E3C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3E7C11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5E3C23"/>
    <w:rsid w:val="0062674B"/>
    <w:rsid w:val="006363B2"/>
    <w:rsid w:val="00644940"/>
    <w:rsid w:val="006818A9"/>
    <w:rsid w:val="006A2D81"/>
    <w:rsid w:val="006C1D0D"/>
    <w:rsid w:val="00703208"/>
    <w:rsid w:val="0070601E"/>
    <w:rsid w:val="00712C72"/>
    <w:rsid w:val="00735FE9"/>
    <w:rsid w:val="00736DE8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067E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073F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57B2C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93374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5813BBD-EE82-4AD5-BCC4-B689A2A6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semiHidden/>
    <w:locked/>
    <w:rsid w:val="0091067E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8C50C-3879-4EBB-AED2-3A6979FA16A4}"/>
</file>

<file path=customXml/itemProps4.xml><?xml version="1.0" encoding="utf-8"?>
<ds:datastoreItem xmlns:ds="http://schemas.openxmlformats.org/officeDocument/2006/customXml" ds:itemID="{5B588190-F9C4-4F9E-A53D-B90E3C7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שי גרשון מאיר</cp:lastModifiedBy>
  <cp:revision>2</cp:revision>
  <cp:lastPrinted>2016-02-16T14:59:00Z</cp:lastPrinted>
  <dcterms:created xsi:type="dcterms:W3CDTF">2016-10-30T09:59:00Z</dcterms:created>
  <dcterms:modified xsi:type="dcterms:W3CDTF">2016-10-30T09:59:00Z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88</vt:r8>
  </property>
  <property fmtid="{D5CDD505-2E9C-101B-9397-08002B2CF9AE}" pid="5" name="SanhedrinItemID">
    <vt:r8>2007077</vt:r8>
  </property>
</Properties>
</file>