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bookmarkStart w:id="0" w:name="_GoBack"/>
      <w:bookmarkEnd w:id="0"/>
      <w:r w:rsidRPr="0000131B">
        <w:rPr>
          <w:rFonts w:hint="cs"/>
          <w:b w:val="0"/>
          <w:bCs w:val="0"/>
          <w:szCs w:val="20"/>
          <w:rtl/>
        </w:rPr>
        <w:t xml:space="preserve">מספר פנימי: </w:t>
      </w:r>
      <w:bookmarkStart w:id="1" w:name="LGS_Internal_ID"/>
      <w:r>
        <w:rPr>
          <w:rFonts w:hint="cs"/>
          <w:b w:val="0"/>
          <w:bCs w:val="0"/>
          <w:szCs w:val="20"/>
          <w:rtl/>
        </w:rPr>
        <w:t>2002390</w:t>
      </w:r>
      <w:bookmarkEnd w:id="1"/>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2" w:name="LGS_Knesset_Num"/>
      <w:r>
        <w:rPr>
          <w:rFonts w:hint="cs"/>
          <w:sz w:val="28"/>
          <w:szCs w:val="28"/>
          <w:rtl/>
        </w:rPr>
        <w:t>העשרים</w:t>
      </w:r>
      <w:bookmarkEnd w:id="2"/>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3" w:name="LGS_Initiators_List"/>
      <w:r>
        <w:rPr>
          <w:b/>
          <w:bCs/>
          <w:rtl/>
        </w:rPr>
        <w:t>יוזם:</w:t>
      </w:r>
      <w:r>
        <w:tab/>
      </w:r>
      <w:r>
        <w:rPr>
          <w:b/>
          <w:bCs/>
          <w:rtl/>
        </w:rPr>
        <w:t xml:space="preserve">      חבר הכנסת</w:t>
      </w:r>
      <w:bookmarkEnd w:id="3"/>
      <w:r w:rsidR="00B35784" w:rsidRPr="00F67051">
        <w:rPr>
          <w:b/>
          <w:bCs/>
        </w:rPr>
        <w:tab/>
      </w:r>
      <w:bookmarkStart w:id="4" w:name="LGS_PM_Names"/>
      <w:r>
        <w:rPr>
          <w:rFonts w:hint="cs"/>
          <w:b/>
          <w:bCs/>
          <w:rtl/>
        </w:rPr>
        <w:t>אלי כהן</w:t>
      </w:r>
      <w:bookmarkEnd w:id="4"/>
    </w:p>
    <w:p w14:paraId="7F6961AA" w14:textId="39F9D96B" w:rsidR="00E13C27" w:rsidRPr="00CF1AA2" w:rsidRDefault="007D585A" w:rsidP="0036422C">
      <w:pPr>
        <w:pStyle w:val="David"/>
        <w:spacing w:before="0" w:line="360" w:lineRule="auto"/>
        <w:ind w:left="3544"/>
        <w:rPr>
          <w:b/>
          <w:bCs/>
          <w:sz w:val="16"/>
          <w:szCs w:val="16"/>
          <w:rtl/>
        </w:rPr>
      </w:pPr>
      <w:bookmarkStart w:id="5" w:name="LGS_Join_List"/>
      <w:r>
        <w:rPr>
          <w:rtl/>
        </w:rPr>
        <w:t xml:space="preserve"> </w:t>
      </w:r>
      <w:bookmarkEnd w:id="5"/>
      <w:r w:rsidR="002200A1" w:rsidRPr="00CF1AA2">
        <w:rPr>
          <w:rFonts w:hint="cs"/>
          <w:rtl/>
        </w:rPr>
        <w:tab/>
      </w:r>
      <w:bookmarkStart w:id="6" w:name="LGS_PM_NamesJoin"/>
      <w:r>
        <w:rPr>
          <w:rFonts w:hint="cs"/>
          <w:rtl/>
        </w:rPr>
        <w:t xml:space="preserve"> </w:t>
      </w:r>
      <w:bookmarkEnd w:id="6"/>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7" w:name="Private_Number"/>
      <w:r>
        <w:rPr>
          <w:rFonts w:hint="cs"/>
          <w:rtl/>
        </w:rPr>
        <w:t>פ/3005/20</w:t>
      </w:r>
      <w:bookmarkEnd w:id="7"/>
    </w:p>
    <w:p w14:paraId="7F6961AC" w14:textId="77777777" w:rsidR="00E13C27" w:rsidRDefault="00E13C27" w:rsidP="00E13C27">
      <w:pPr>
        <w:spacing w:before="0" w:line="360" w:lineRule="auto"/>
        <w:ind w:left="2880" w:firstLine="720"/>
        <w:rPr>
          <w:rFonts w:cs="David"/>
          <w:sz w:val="26"/>
          <w:szCs w:val="26"/>
          <w:rtl/>
        </w:rPr>
      </w:pPr>
    </w:p>
    <w:p w14:paraId="7F6961AD" w14:textId="1F464B61" w:rsidR="00E13C27" w:rsidRDefault="00A443CF" w:rsidP="004E31A8">
      <w:pPr>
        <w:pStyle w:val="HeadHatzaotHok"/>
        <w:rPr>
          <w:rtl/>
        </w:rPr>
      </w:pPr>
      <w:bookmarkStart w:id="8" w:name="LGS_Subject"/>
      <w:r>
        <w:rPr>
          <w:rFonts w:hint="cs"/>
          <w:rtl/>
        </w:rPr>
        <w:t xml:space="preserve">הצעת חוק שעות עבודה ומנוחה (תיקון </w:t>
      </w:r>
      <w:r w:rsidR="004E31A8">
        <w:rPr>
          <w:rFonts w:hint="eastAsia"/>
          <w:rtl/>
        </w:rPr>
        <w:t>–</w:t>
      </w:r>
      <w:r>
        <w:rPr>
          <w:rFonts w:hint="cs"/>
          <w:rtl/>
        </w:rPr>
        <w:t xml:space="preserve"> הסדרת סוף שבוע ארוך), </w:t>
      </w:r>
      <w:proofErr w:type="spellStart"/>
      <w:r>
        <w:rPr>
          <w:rFonts w:hint="cs"/>
          <w:rtl/>
        </w:rPr>
        <w:t>התשע"ו</w:t>
      </w:r>
      <w:proofErr w:type="spellEnd"/>
      <w:r w:rsidR="004E31A8">
        <w:rPr>
          <w:rFonts w:hint="eastAsia"/>
          <w:rtl/>
        </w:rPr>
        <w:t>–</w:t>
      </w:r>
      <w:r>
        <w:rPr>
          <w:rFonts w:hint="cs"/>
          <w:rtl/>
        </w:rPr>
        <w:t>2016</w:t>
      </w:r>
      <w:bookmarkEnd w:id="8"/>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6"/>
      </w:tblGrid>
      <w:tr w:rsidR="00995962" w14:paraId="6DF310F0" w14:textId="77777777" w:rsidTr="00943386">
        <w:trPr>
          <w:cantSplit/>
          <w:trHeight w:val="60"/>
        </w:trPr>
        <w:tc>
          <w:tcPr>
            <w:tcW w:w="1871" w:type="dxa"/>
          </w:tcPr>
          <w:p w14:paraId="5C90884A" w14:textId="77777777" w:rsidR="00995962" w:rsidRDefault="00995962" w:rsidP="00943386">
            <w:pPr>
              <w:pStyle w:val="TableSideHeading"/>
              <w:keepLines w:val="0"/>
              <w:rPr>
                <w:rtl/>
              </w:rPr>
            </w:pPr>
            <w:r>
              <w:rPr>
                <w:rFonts w:hint="cs"/>
                <w:rtl/>
              </w:rPr>
              <w:t>תיקון סעיף 3</w:t>
            </w:r>
          </w:p>
        </w:tc>
        <w:tc>
          <w:tcPr>
            <w:tcW w:w="624" w:type="dxa"/>
          </w:tcPr>
          <w:p w14:paraId="2FC95A39" w14:textId="77777777" w:rsidR="00995962" w:rsidRDefault="00995962" w:rsidP="00943386">
            <w:pPr>
              <w:pStyle w:val="TableText"/>
              <w:rPr>
                <w:rtl/>
              </w:rPr>
            </w:pPr>
            <w:r>
              <w:rPr>
                <w:rFonts w:hint="cs"/>
                <w:rtl/>
              </w:rPr>
              <w:t>1.</w:t>
            </w:r>
          </w:p>
        </w:tc>
        <w:tc>
          <w:tcPr>
            <w:tcW w:w="7146" w:type="dxa"/>
          </w:tcPr>
          <w:p w14:paraId="5A97004B" w14:textId="77777777" w:rsidR="00995962" w:rsidRDefault="00995962" w:rsidP="00943386">
            <w:pPr>
              <w:pStyle w:val="TableBlock"/>
              <w:keepLines w:val="0"/>
              <w:rPr>
                <w:rtl/>
              </w:rPr>
            </w:pPr>
            <w:r>
              <w:rPr>
                <w:rFonts w:hint="cs"/>
                <w:rtl/>
              </w:rPr>
              <w:t xml:space="preserve">בחוק שעות עבודה ומנוחה, </w:t>
            </w:r>
            <w:proofErr w:type="spellStart"/>
            <w:r>
              <w:rPr>
                <w:rFonts w:hint="cs"/>
                <w:rtl/>
              </w:rPr>
              <w:t>התשי"א</w:t>
            </w:r>
            <w:proofErr w:type="spellEnd"/>
            <w:r>
              <w:rPr>
                <w:rFonts w:hint="eastAsia"/>
                <w:rtl/>
              </w:rPr>
              <w:t>–</w:t>
            </w:r>
            <w:r>
              <w:rPr>
                <w:rFonts w:hint="cs"/>
                <w:rtl/>
              </w:rPr>
              <w:t>1951</w:t>
            </w:r>
            <w:r>
              <w:rPr>
                <w:rStyle w:val="a6"/>
                <w:rtl/>
              </w:rPr>
              <w:footnoteReference w:id="2"/>
            </w:r>
            <w:r>
              <w:rPr>
                <w:rFonts w:hint="cs"/>
                <w:rtl/>
              </w:rPr>
              <w:t xml:space="preserve"> (להלן </w:t>
            </w:r>
            <w:r>
              <w:rPr>
                <w:rFonts w:hint="eastAsia"/>
                <w:rtl/>
              </w:rPr>
              <w:t xml:space="preserve">– </w:t>
            </w:r>
            <w:r>
              <w:rPr>
                <w:rFonts w:hint="cs"/>
                <w:rtl/>
              </w:rPr>
              <w:t xml:space="preserve">החוק העיקרי), בסעיף 3, האמור בו יסומן "(א)" ואחריו יבוא: </w:t>
            </w:r>
          </w:p>
        </w:tc>
      </w:tr>
      <w:tr w:rsidR="00995962" w14:paraId="104F058E" w14:textId="77777777" w:rsidTr="00943386">
        <w:trPr>
          <w:cantSplit/>
          <w:trHeight w:val="60"/>
        </w:trPr>
        <w:tc>
          <w:tcPr>
            <w:tcW w:w="1871" w:type="dxa"/>
          </w:tcPr>
          <w:p w14:paraId="20DDC345" w14:textId="77777777" w:rsidR="00995962" w:rsidRDefault="00995962" w:rsidP="00943386">
            <w:pPr>
              <w:pStyle w:val="TableSideHeading"/>
            </w:pPr>
          </w:p>
        </w:tc>
        <w:tc>
          <w:tcPr>
            <w:tcW w:w="624" w:type="dxa"/>
          </w:tcPr>
          <w:p w14:paraId="7699001C" w14:textId="77777777" w:rsidR="00995962" w:rsidRDefault="00995962" w:rsidP="00943386">
            <w:pPr>
              <w:pStyle w:val="TableText"/>
            </w:pPr>
          </w:p>
        </w:tc>
        <w:tc>
          <w:tcPr>
            <w:tcW w:w="7146" w:type="dxa"/>
          </w:tcPr>
          <w:p w14:paraId="66A62E67" w14:textId="77777777" w:rsidR="00995962" w:rsidRDefault="00995962" w:rsidP="00943386">
            <w:pPr>
              <w:pStyle w:val="TableBlock"/>
            </w:pPr>
            <w:r>
              <w:rPr>
                <w:rFonts w:hint="cs"/>
                <w:rtl/>
              </w:rPr>
              <w:t>"(ב)</w:t>
            </w:r>
            <w:r>
              <w:rPr>
                <w:rtl/>
              </w:rPr>
              <w:tab/>
              <w:t xml:space="preserve">שבוע </w:t>
            </w:r>
            <w:r w:rsidRPr="00D15742">
              <w:rPr>
                <w:rtl/>
              </w:rPr>
              <w:t xml:space="preserve">עבודה יהיה בן חמישה ימי עבודה, למעט שבוע </w:t>
            </w:r>
            <w:r>
              <w:rPr>
                <w:rFonts w:hint="cs"/>
                <w:rtl/>
              </w:rPr>
              <w:t xml:space="preserve">העבודה הראשון בשישה </w:t>
            </w:r>
            <w:r w:rsidRPr="00D15742">
              <w:rPr>
                <w:rtl/>
              </w:rPr>
              <w:t>חודש</w:t>
            </w:r>
            <w:r>
              <w:rPr>
                <w:rFonts w:hint="cs"/>
                <w:rtl/>
              </w:rPr>
              <w:t xml:space="preserve">ים </w:t>
            </w:r>
            <w:proofErr w:type="spellStart"/>
            <w:r>
              <w:rPr>
                <w:rFonts w:hint="cs"/>
                <w:rtl/>
              </w:rPr>
              <w:t>קלנדרים</w:t>
            </w:r>
            <w:proofErr w:type="spellEnd"/>
            <w:r>
              <w:rPr>
                <w:rFonts w:hint="cs"/>
                <w:rtl/>
              </w:rPr>
              <w:t xml:space="preserve"> שיקבע שר הכלכלה והתעשייה, בהתייעצות עם שר האוצר, שבו שבוע העבודה יהיה בן ארבעה ימי עבודה.</w:t>
            </w:r>
            <w:r w:rsidRPr="00D15742">
              <w:rPr>
                <w:rtl/>
              </w:rPr>
              <w:t>"</w:t>
            </w:r>
            <w:r>
              <w:rPr>
                <w:rFonts w:hint="cs"/>
                <w:rtl/>
              </w:rPr>
              <w:t>;</w:t>
            </w:r>
          </w:p>
        </w:tc>
      </w:tr>
      <w:tr w:rsidR="00995962" w:rsidRPr="00F774BF" w14:paraId="1F8CEC94" w14:textId="77777777" w:rsidTr="00943386">
        <w:trPr>
          <w:cantSplit/>
          <w:trHeight w:val="60"/>
        </w:trPr>
        <w:tc>
          <w:tcPr>
            <w:tcW w:w="1871" w:type="dxa"/>
          </w:tcPr>
          <w:p w14:paraId="4294CDC9" w14:textId="77777777" w:rsidR="00995962" w:rsidRDefault="00995962" w:rsidP="00943386">
            <w:pPr>
              <w:pStyle w:val="TableSideHeading"/>
              <w:keepLines w:val="0"/>
            </w:pPr>
            <w:r w:rsidRPr="00F774BF">
              <w:rPr>
                <w:rtl/>
              </w:rPr>
              <w:t>ת</w:t>
            </w:r>
            <w:r>
              <w:rPr>
                <w:rFonts w:hint="cs"/>
                <w:rtl/>
              </w:rPr>
              <w:t>חילה ות</w:t>
            </w:r>
            <w:r w:rsidRPr="00F774BF">
              <w:rPr>
                <w:rtl/>
              </w:rPr>
              <w:t>חולה</w:t>
            </w:r>
          </w:p>
        </w:tc>
        <w:tc>
          <w:tcPr>
            <w:tcW w:w="624" w:type="dxa"/>
          </w:tcPr>
          <w:p w14:paraId="61A77082" w14:textId="77777777" w:rsidR="00995962" w:rsidRDefault="00995962" w:rsidP="00943386">
            <w:pPr>
              <w:pStyle w:val="TableText"/>
            </w:pPr>
            <w:r>
              <w:rPr>
                <w:rFonts w:hint="cs"/>
                <w:rtl/>
              </w:rPr>
              <w:t>2</w:t>
            </w:r>
            <w:r w:rsidRPr="00F774BF">
              <w:rPr>
                <w:rtl/>
              </w:rPr>
              <w:t>.</w:t>
            </w:r>
          </w:p>
        </w:tc>
        <w:tc>
          <w:tcPr>
            <w:tcW w:w="7146" w:type="dxa"/>
          </w:tcPr>
          <w:p w14:paraId="6F9418EB" w14:textId="77777777" w:rsidR="00995962" w:rsidRPr="00F774BF" w:rsidRDefault="00995962" w:rsidP="00943386">
            <w:pPr>
              <w:pStyle w:val="TableBlock"/>
              <w:keepLines w:val="0"/>
            </w:pPr>
            <w:r>
              <w:rPr>
                <w:rtl/>
              </w:rPr>
              <w:t xml:space="preserve">תחילתו של </w:t>
            </w:r>
            <w:r>
              <w:rPr>
                <w:rFonts w:hint="cs"/>
                <w:rtl/>
              </w:rPr>
              <w:t xml:space="preserve">סעיף 3(ב) לחוק העיקרי, כנוסחו בחוק זה, ביום ג' בטבת </w:t>
            </w:r>
            <w:proofErr w:type="spellStart"/>
            <w:r>
              <w:rPr>
                <w:rFonts w:hint="cs"/>
                <w:rtl/>
              </w:rPr>
              <w:t>התשע"ז</w:t>
            </w:r>
            <w:proofErr w:type="spellEnd"/>
            <w:r>
              <w:rPr>
                <w:rFonts w:hint="cs"/>
                <w:rtl/>
              </w:rPr>
              <w:t xml:space="preserve"> (1 בינואר 2017), והוא יחול</w:t>
            </w:r>
            <w:r w:rsidRPr="00F774BF">
              <w:rPr>
                <w:rtl/>
              </w:rPr>
              <w:t xml:space="preserve"> על עובד שחל עליו הסכם קיבוצי כללי או צו הרחבה בעניין מעבר לשבוע עבודה של חמישה ימים. </w:t>
            </w:r>
          </w:p>
        </w:tc>
      </w:tr>
    </w:tbl>
    <w:p w14:paraId="7F6961CA" w14:textId="77777777" w:rsidR="002D1EE3" w:rsidRDefault="002D1EE3" w:rsidP="002D1EE3">
      <w:pPr>
        <w:pStyle w:val="HeadDivreiHesber"/>
        <w:rPr>
          <w:rtl/>
        </w:rPr>
      </w:pPr>
      <w:r w:rsidRPr="0027450A">
        <w:rPr>
          <w:rFonts w:hint="cs"/>
          <w:rtl/>
        </w:rPr>
        <w:t>דברי הסבר</w:t>
      </w:r>
    </w:p>
    <w:p w14:paraId="7F86AA36" w14:textId="77777777" w:rsidR="00995962" w:rsidRPr="00183FE8" w:rsidRDefault="00995962" w:rsidP="00995962">
      <w:pPr>
        <w:pStyle w:val="Hesber"/>
        <w:spacing w:line="240" w:lineRule="auto"/>
        <w:rPr>
          <w:rtl/>
        </w:rPr>
      </w:pPr>
      <w:r>
        <w:rPr>
          <w:rFonts w:hint="cs"/>
          <w:rtl/>
        </w:rPr>
        <w:t>מוצע לעגן בחקיקה שבוע עבודה בן חמישה ימים, ולהוסיף</w:t>
      </w:r>
      <w:r w:rsidRPr="00183FE8">
        <w:rPr>
          <w:rtl/>
        </w:rPr>
        <w:t xml:space="preserve"> </w:t>
      </w:r>
      <w:r>
        <w:rPr>
          <w:rFonts w:hint="cs"/>
          <w:rtl/>
        </w:rPr>
        <w:t>יום חופשי אחד בחודש, בשישה חודשים בשנה וזאת כחלק ממהלך לקיצור שבוע העבודה מכ-43 שעות שבועיות לכ-40 שעות. שישה סופי השבוע הארוכים מקצרים את שבוע העבודה בשעה אחת כאשר המשך הקיצור, מ-42 שעות שבועיות ל-40 שעות שבועיות, יכול שיעשה באמצעות הגדלת מספר סופי השבוע הארוכים או באמצעות קיצור שעות העבודה מדי יום כפי שיוסכם בהמשך, באופן שיטיב עם המשק והעובדים. את ששת החודשים שעליהם יוחל ההסדר המוצע, יקבע בתקנות שר הכלכלה והתעשייה, בהתייעצות עם שר האוצר. חקיקה זו ת</w:t>
      </w:r>
      <w:r w:rsidRPr="00183FE8">
        <w:rPr>
          <w:rtl/>
        </w:rPr>
        <w:t>אפשר לאזרחי מדינת ישראל ל</w:t>
      </w:r>
      <w:r>
        <w:rPr>
          <w:rtl/>
        </w:rPr>
        <w:t>י</w:t>
      </w:r>
      <w:r w:rsidRPr="00183FE8">
        <w:rPr>
          <w:rtl/>
        </w:rPr>
        <w:t>הנות מסוף שבוע מלא</w:t>
      </w:r>
      <w:r>
        <w:rPr>
          <w:rFonts w:hint="cs"/>
          <w:rtl/>
        </w:rPr>
        <w:t>,</w:t>
      </w:r>
      <w:r w:rsidRPr="00183FE8">
        <w:rPr>
          <w:rtl/>
        </w:rPr>
        <w:t xml:space="preserve"> בסטנדרט בינלאומי.</w:t>
      </w:r>
      <w:r>
        <w:rPr>
          <w:rFonts w:hint="cs"/>
          <w:rtl/>
        </w:rPr>
        <w:t xml:space="preserve">  </w:t>
      </w:r>
    </w:p>
    <w:p w14:paraId="094836B1" w14:textId="04F43C8F" w:rsidR="00995962" w:rsidRDefault="00995962" w:rsidP="004E31A8">
      <w:pPr>
        <w:pStyle w:val="Hesber"/>
        <w:spacing w:line="240" w:lineRule="auto"/>
        <w:rPr>
          <w:rtl/>
        </w:rPr>
      </w:pPr>
    </w:p>
    <w:p w14:paraId="0975BD85" w14:textId="77777777" w:rsidR="00995962" w:rsidRPr="00183FE8" w:rsidRDefault="00995962" w:rsidP="004E31A8">
      <w:pPr>
        <w:pStyle w:val="Hesber"/>
        <w:spacing w:line="240" w:lineRule="auto"/>
        <w:rPr>
          <w:rtl/>
        </w:rPr>
      </w:pPr>
    </w:p>
    <w:p w14:paraId="7B96F31A" w14:textId="77777777" w:rsidR="004E31A8" w:rsidRPr="00D73212" w:rsidRDefault="004E31A8" w:rsidP="004E31A8">
      <w:pPr>
        <w:pStyle w:val="Hesber"/>
        <w:spacing w:line="240" w:lineRule="auto"/>
        <w:rPr>
          <w:color w:val="auto"/>
          <w:rtl/>
          <w:lang w:eastAsia="en-US"/>
        </w:rPr>
      </w:pPr>
      <w:r w:rsidRPr="00D73212">
        <w:rPr>
          <w:color w:val="auto"/>
          <w:rtl/>
          <w:lang w:eastAsia="en-US"/>
        </w:rPr>
        <w:t>---------------------------------</w:t>
      </w:r>
    </w:p>
    <w:p w14:paraId="68F933D7" w14:textId="77777777" w:rsidR="004E31A8" w:rsidRPr="00D73212" w:rsidRDefault="004E31A8" w:rsidP="004E31A8">
      <w:pPr>
        <w:pStyle w:val="Hesber"/>
        <w:spacing w:line="240" w:lineRule="auto"/>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3B46A1A3" w14:textId="77777777" w:rsidR="004E31A8" w:rsidRPr="00D73212" w:rsidRDefault="004E31A8" w:rsidP="004E31A8">
      <w:pPr>
        <w:pStyle w:val="Hesber"/>
        <w:spacing w:line="240" w:lineRule="auto"/>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1FB3BE96" w14:textId="77777777" w:rsidR="004E31A8" w:rsidRPr="00317312" w:rsidRDefault="004E31A8" w:rsidP="004E31A8">
      <w:pPr>
        <w:pStyle w:val="Hesber"/>
        <w:spacing w:line="240" w:lineRule="auto"/>
      </w:pPr>
      <w:r>
        <w:rPr>
          <w:rFonts w:hint="cs"/>
          <w:color w:val="auto"/>
          <w:rtl/>
          <w:lang w:eastAsia="en-US"/>
        </w:rPr>
        <w:t>ט"ו באייר</w:t>
      </w:r>
      <w:r w:rsidRPr="00D73212">
        <w:rPr>
          <w:color w:val="auto"/>
          <w:rtl/>
          <w:lang w:eastAsia="en-US"/>
        </w:rPr>
        <w:t xml:space="preserve"> </w:t>
      </w:r>
      <w:proofErr w:type="spellStart"/>
      <w:r w:rsidRPr="00D73212">
        <w:rPr>
          <w:rFonts w:hint="cs"/>
          <w:color w:val="auto"/>
          <w:rtl/>
          <w:lang w:eastAsia="en-US"/>
        </w:rPr>
        <w:t>התשע</w:t>
      </w:r>
      <w:r w:rsidRPr="00D73212">
        <w:rPr>
          <w:color w:val="auto"/>
          <w:rtl/>
          <w:lang w:eastAsia="en-US"/>
        </w:rPr>
        <w:t>"</w:t>
      </w:r>
      <w:r>
        <w:rPr>
          <w:rFonts w:hint="cs"/>
          <w:color w:val="auto"/>
          <w:rtl/>
          <w:lang w:eastAsia="en-US"/>
        </w:rPr>
        <w:t>ו</w:t>
      </w:r>
      <w:proofErr w:type="spellEnd"/>
      <w:r w:rsidRPr="00D73212">
        <w:rPr>
          <w:color w:val="auto"/>
          <w:rtl/>
          <w:lang w:eastAsia="en-US"/>
        </w:rPr>
        <w:t xml:space="preserve"> – </w:t>
      </w:r>
      <w:r>
        <w:rPr>
          <w:rFonts w:hint="cs"/>
          <w:color w:val="auto"/>
          <w:rtl/>
          <w:lang w:eastAsia="en-US"/>
        </w:rPr>
        <w:t>23.5.16</w:t>
      </w:r>
    </w:p>
    <w:p w14:paraId="7F6961CB" w14:textId="77777777" w:rsidR="00E13C27" w:rsidRPr="004E31A8" w:rsidRDefault="00E13C27" w:rsidP="00E13C27">
      <w:pPr>
        <w:pStyle w:val="Hesber"/>
        <w:rPr>
          <w:rtl/>
        </w:rPr>
      </w:pPr>
    </w:p>
    <w:sectPr w:rsidR="00E13C27" w:rsidRPr="004E31A8"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2B66F" w14:textId="77777777" w:rsidR="00202B26" w:rsidRDefault="00202B26">
      <w:r>
        <w:separator/>
      </w:r>
    </w:p>
  </w:endnote>
  <w:endnote w:type="continuationSeparator" w:id="0">
    <w:p w14:paraId="6C2A29D4" w14:textId="77777777" w:rsidR="00202B26" w:rsidRDefault="00202B26">
      <w:r>
        <w:continuationSeparator/>
      </w:r>
    </w:p>
  </w:endnote>
  <w:endnote w:type="continuationNotice" w:id="1">
    <w:p w14:paraId="401EE452" w14:textId="77777777" w:rsidR="00202B26" w:rsidRDefault="00202B2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4E31A8">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4BF4E" w14:textId="77777777" w:rsidR="00202B26" w:rsidRDefault="00202B26">
      <w:r>
        <w:separator/>
      </w:r>
    </w:p>
  </w:footnote>
  <w:footnote w:type="continuationSeparator" w:id="0">
    <w:p w14:paraId="4EC8200F" w14:textId="77777777" w:rsidR="00202B26" w:rsidRDefault="00202B26">
      <w:r>
        <w:continuationSeparator/>
      </w:r>
    </w:p>
  </w:footnote>
  <w:footnote w:type="continuationNotice" w:id="1">
    <w:p w14:paraId="26141430" w14:textId="77777777" w:rsidR="00202B26" w:rsidRDefault="00202B26"/>
  </w:footnote>
  <w:footnote w:id="2">
    <w:p w14:paraId="7C5CB152" w14:textId="77777777" w:rsidR="00995962" w:rsidRDefault="00995962" w:rsidP="00995962">
      <w:pPr>
        <w:pStyle w:val="a4"/>
        <w:rPr>
          <w:rtl/>
        </w:rPr>
      </w:pPr>
      <w:r>
        <w:rPr>
          <w:rStyle w:val="a6"/>
        </w:rPr>
        <w:footnoteRef/>
      </w:r>
      <w:r>
        <w:rPr>
          <w:rtl/>
        </w:rPr>
        <w:t xml:space="preserve"> </w:t>
      </w:r>
      <w:r>
        <w:rPr>
          <w:rFonts w:hint="cs"/>
          <w:rtl/>
        </w:rPr>
        <w:t xml:space="preserve">ס"ח </w:t>
      </w:r>
      <w:proofErr w:type="spellStart"/>
      <w:r>
        <w:rPr>
          <w:rFonts w:hint="cs"/>
          <w:rtl/>
        </w:rPr>
        <w:t>התשי"א</w:t>
      </w:r>
      <w:proofErr w:type="spellEnd"/>
      <w:r>
        <w:rPr>
          <w:rFonts w:hint="cs"/>
          <w:rtl/>
        </w:rPr>
        <w:t>, עמ' 204.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0C6074"/>
    <w:rsid w:val="00102B6B"/>
    <w:rsid w:val="001052D4"/>
    <w:rsid w:val="0010644B"/>
    <w:rsid w:val="001207F8"/>
    <w:rsid w:val="00121924"/>
    <w:rsid w:val="001279A8"/>
    <w:rsid w:val="0014195F"/>
    <w:rsid w:val="00152609"/>
    <w:rsid w:val="00153E1B"/>
    <w:rsid w:val="001A0623"/>
    <w:rsid w:val="001C23B0"/>
    <w:rsid w:val="001D7AAF"/>
    <w:rsid w:val="00202B26"/>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30E1A"/>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31A8"/>
    <w:rsid w:val="004E4552"/>
    <w:rsid w:val="004E6CDF"/>
    <w:rsid w:val="005126AA"/>
    <w:rsid w:val="00553C9D"/>
    <w:rsid w:val="00562A66"/>
    <w:rsid w:val="005B064E"/>
    <w:rsid w:val="005D0DEF"/>
    <w:rsid w:val="005D51AE"/>
    <w:rsid w:val="0062674B"/>
    <w:rsid w:val="006363B2"/>
    <w:rsid w:val="00644940"/>
    <w:rsid w:val="006818A9"/>
    <w:rsid w:val="006A2D81"/>
    <w:rsid w:val="006C1D0D"/>
    <w:rsid w:val="0070601E"/>
    <w:rsid w:val="00712C72"/>
    <w:rsid w:val="00735FE9"/>
    <w:rsid w:val="00763CAA"/>
    <w:rsid w:val="00765F66"/>
    <w:rsid w:val="0078664F"/>
    <w:rsid w:val="007C3FA6"/>
    <w:rsid w:val="007D585A"/>
    <w:rsid w:val="007D5A12"/>
    <w:rsid w:val="007E59F9"/>
    <w:rsid w:val="00810BCD"/>
    <w:rsid w:val="00812C98"/>
    <w:rsid w:val="00814D92"/>
    <w:rsid w:val="0083181D"/>
    <w:rsid w:val="00843EB2"/>
    <w:rsid w:val="008546A4"/>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95962"/>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0812"/>
    <w:rsid w:val="00B733A7"/>
    <w:rsid w:val="00B75C91"/>
    <w:rsid w:val="00B975AD"/>
    <w:rsid w:val="00BC45FB"/>
    <w:rsid w:val="00BF148D"/>
    <w:rsid w:val="00C23B1A"/>
    <w:rsid w:val="00C310EB"/>
    <w:rsid w:val="00C9176A"/>
    <w:rsid w:val="00CF1AA2"/>
    <w:rsid w:val="00D17774"/>
    <w:rsid w:val="00D63620"/>
    <w:rsid w:val="00D8410D"/>
    <w:rsid w:val="00D867D7"/>
    <w:rsid w:val="00DB7060"/>
    <w:rsid w:val="00DE3153"/>
    <w:rsid w:val="00E06736"/>
    <w:rsid w:val="00E13C27"/>
    <w:rsid w:val="00E33BBD"/>
    <w:rsid w:val="00E374F2"/>
    <w:rsid w:val="00E45103"/>
    <w:rsid w:val="00E55A60"/>
    <w:rsid w:val="00E6121F"/>
    <w:rsid w:val="00E62778"/>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uiPriority w:val="99"/>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uiPriority w:val="99"/>
    <w:semiHidden/>
    <w:rsid w:val="00E6121F"/>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8C62B-B9AF-48D1-AFDE-5BEBE507340C}"/>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8F4AFE3-9455-419C-8851-785A55F445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7D8FCD-9562-4BDC-8561-39CF6DFF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1212</Characters>
  <Application>Microsoft Office Word</Application>
  <DocSecurity>0</DocSecurity>
  <Lines>10</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שי גרשון מאיר</cp:lastModifiedBy>
  <cp:revision>2</cp:revision>
  <cp:lastPrinted>2016-05-16T08:28:00Z</cp:lastPrinted>
  <dcterms:created xsi:type="dcterms:W3CDTF">2016-10-30T09:52:00Z</dcterms:created>
  <dcterms:modified xsi:type="dcterms:W3CDTF">2016-10-30T09:52:00Z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_dlc_DocIdItemGuid">
    <vt:lpwstr>8badafff-95aa-4718-b074-a2d35988ffa8</vt:lpwstr>
  </property>
  <property fmtid="{D5CDD505-2E9C-101B-9397-08002B2CF9AE}" pid="4" name="SanhedrinDocumentType">
    <vt:r8>88</vt:r8>
  </property>
  <property fmtid="{D5CDD505-2E9C-101B-9397-08002B2CF9AE}" pid="5" name="SanhedrinItemID">
    <vt:r8>2007077</vt:r8>
  </property>
</Properties>
</file>