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961A1" w14:textId="77777777" w:rsidR="002C2E29" w:rsidRPr="0000131B" w:rsidRDefault="004033D8" w:rsidP="00A443CF">
      <w:pPr>
        <w:pStyle w:val="HeadHatzaotHok"/>
        <w:jc w:val="right"/>
        <w:rPr>
          <w:b w:val="0"/>
          <w:bCs w:val="0"/>
          <w:szCs w:val="20"/>
        </w:rPr>
      </w:pPr>
      <w:bookmarkStart w:id="0" w:name="_GoBack"/>
      <w:bookmarkEnd w:id="0"/>
      <w:r w:rsidRPr="0000131B">
        <w:rPr>
          <w:rFonts w:hint="cs"/>
          <w:b w:val="0"/>
          <w:bCs w:val="0"/>
          <w:szCs w:val="20"/>
          <w:rtl/>
        </w:rPr>
        <w:t xml:space="preserve">מספר פנימי: </w:t>
      </w:r>
      <w:bookmarkStart w:id="1" w:name="LGS_Internal_ID"/>
      <w:r>
        <w:rPr>
          <w:rFonts w:hint="cs"/>
          <w:b w:val="0"/>
          <w:bCs w:val="0"/>
          <w:szCs w:val="20"/>
          <w:rtl/>
        </w:rPr>
        <w:t>565260</w:t>
      </w:r>
      <w:bookmarkEnd w:id="1"/>
    </w:p>
    <w:p w14:paraId="7F6961A2" w14:textId="53D639AE" w:rsidR="00E13C27" w:rsidRPr="00DB7060" w:rsidRDefault="00E13C27" w:rsidP="00A443CF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2" w:name="LGS_Knesset_Num"/>
      <w:r>
        <w:rPr>
          <w:rFonts w:hint="cs"/>
          <w:sz w:val="28"/>
          <w:szCs w:val="28"/>
          <w:rtl/>
        </w:rPr>
        <w:t>העשרים</w:t>
      </w:r>
      <w:bookmarkEnd w:id="2"/>
    </w:p>
    <w:p w14:paraId="7F6961A3" w14:textId="77777777" w:rsidR="00E13C27" w:rsidRPr="00F67051" w:rsidRDefault="00E13C27" w:rsidP="00E13C27">
      <w:pPr>
        <w:rPr>
          <w:rFonts w:cs="David"/>
          <w:b/>
          <w:bCs/>
          <w:sz w:val="26"/>
          <w:szCs w:val="26"/>
          <w:rtl/>
        </w:rPr>
      </w:pPr>
    </w:p>
    <w:p w14:paraId="7F6961AB" w14:textId="27A0EF1F" w:rsidR="00E13C27" w:rsidRPr="00624FC9" w:rsidRDefault="008F6665" w:rsidP="00624FC9">
      <w:pPr>
        <w:pStyle w:val="David"/>
        <w:spacing w:line="360" w:lineRule="auto"/>
        <w:ind w:left="2160"/>
        <w:rPr>
          <w:sz w:val="4"/>
          <w:szCs w:val="4"/>
          <w:rtl/>
        </w:rPr>
      </w:pPr>
      <w:bookmarkStart w:id="3" w:name="LGS_Initiators_List"/>
      <w:r>
        <w:rPr>
          <w:b/>
          <w:bCs/>
          <w:rtl/>
        </w:rPr>
        <w:t>יוזמים:      חברי הכנסת</w:t>
      </w:r>
      <w:bookmarkEnd w:id="3"/>
      <w:r w:rsidR="00B35784" w:rsidRPr="00F67051">
        <w:rPr>
          <w:b/>
          <w:bCs/>
        </w:rPr>
        <w:tab/>
      </w:r>
      <w:bookmarkStart w:id="4" w:name="LGS_PM_Names"/>
      <w:r>
        <w:rPr>
          <w:rFonts w:hint="cs"/>
          <w:b/>
          <w:bCs/>
          <w:rtl/>
        </w:rPr>
        <w:t>מירב בן ארי</w:t>
      </w:r>
      <w:r w:rsidR="00624FC9" w:rsidRPr="00624FC9">
        <w:rPr>
          <w:rFonts w:hint="cs"/>
          <w:b/>
          <w:bCs/>
          <w:rtl/>
        </w:rPr>
        <w:t xml:space="preserve"> </w:t>
      </w:r>
      <w:r w:rsidR="00624FC9">
        <w:rPr>
          <w:b/>
          <w:bCs/>
          <w:rtl/>
        </w:rPr>
        <w:tab/>
      </w:r>
      <w:r w:rsidR="00624FC9">
        <w:rPr>
          <w:b/>
          <w:bCs/>
          <w:rtl/>
        </w:rPr>
        <w:tab/>
      </w:r>
      <w:r w:rsidR="00624FC9">
        <w:rPr>
          <w:rFonts w:hint="cs"/>
          <w:b/>
          <w:bCs/>
          <w:rtl/>
        </w:rPr>
        <w:t>עאידה תומא סלימאן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אורן אסף חזן</w:t>
      </w:r>
      <w:r w:rsidR="00624FC9" w:rsidRPr="00624FC9">
        <w:rPr>
          <w:rFonts w:hint="cs"/>
          <w:b/>
          <w:bCs/>
          <w:rtl/>
        </w:rPr>
        <w:t xml:space="preserve"> </w:t>
      </w:r>
      <w:r w:rsidR="00624FC9">
        <w:rPr>
          <w:b/>
          <w:bCs/>
          <w:rtl/>
        </w:rPr>
        <w:tab/>
      </w:r>
      <w:r w:rsidR="00624FC9">
        <w:rPr>
          <w:b/>
          <w:bCs/>
          <w:rtl/>
        </w:rPr>
        <w:tab/>
      </w:r>
      <w:r w:rsidR="00624FC9">
        <w:rPr>
          <w:rFonts w:hint="cs"/>
          <w:b/>
          <w:bCs/>
          <w:rtl/>
        </w:rPr>
        <w:t>טלי פלוסקוב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יעקב מרגי</w:t>
      </w:r>
      <w:r w:rsidR="00624FC9" w:rsidRPr="00624FC9">
        <w:rPr>
          <w:rFonts w:hint="cs"/>
          <w:b/>
          <w:bCs/>
          <w:rtl/>
        </w:rPr>
        <w:t xml:space="preserve"> </w:t>
      </w:r>
      <w:r w:rsidR="00624FC9">
        <w:rPr>
          <w:b/>
          <w:bCs/>
          <w:rtl/>
        </w:rPr>
        <w:tab/>
      </w:r>
      <w:r w:rsidR="00624FC9">
        <w:rPr>
          <w:b/>
          <w:bCs/>
          <w:rtl/>
        </w:rPr>
        <w:tab/>
      </w:r>
      <w:r w:rsidR="00624FC9">
        <w:rPr>
          <w:rFonts w:hint="cs"/>
          <w:b/>
          <w:bCs/>
          <w:rtl/>
        </w:rPr>
        <w:t>ענת ברקו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רועי פולקמן</w:t>
      </w:r>
      <w:r w:rsidR="00624FC9" w:rsidRPr="00624FC9">
        <w:rPr>
          <w:rFonts w:hint="cs"/>
          <w:b/>
          <w:bCs/>
          <w:rtl/>
        </w:rPr>
        <w:t xml:space="preserve"> </w:t>
      </w:r>
      <w:r w:rsidR="00624FC9">
        <w:rPr>
          <w:b/>
          <w:bCs/>
          <w:rtl/>
        </w:rPr>
        <w:tab/>
      </w:r>
      <w:r w:rsidR="00624FC9">
        <w:rPr>
          <w:b/>
          <w:bCs/>
          <w:rtl/>
        </w:rPr>
        <w:tab/>
      </w:r>
      <w:r w:rsidR="00624FC9">
        <w:rPr>
          <w:rFonts w:hint="cs"/>
          <w:b/>
          <w:bCs/>
          <w:rtl/>
        </w:rPr>
        <w:t>אייל בן ראובן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יואב בן צור</w:t>
      </w:r>
      <w:r w:rsidR="00624FC9" w:rsidRPr="00624FC9">
        <w:rPr>
          <w:rFonts w:hint="cs"/>
          <w:b/>
          <w:bCs/>
          <w:rtl/>
        </w:rPr>
        <w:t xml:space="preserve"> </w:t>
      </w:r>
      <w:r w:rsidR="00624FC9">
        <w:rPr>
          <w:b/>
          <w:bCs/>
          <w:rtl/>
        </w:rPr>
        <w:tab/>
      </w:r>
      <w:r w:rsidR="00624FC9">
        <w:rPr>
          <w:b/>
          <w:bCs/>
          <w:rtl/>
        </w:rPr>
        <w:tab/>
      </w:r>
      <w:r w:rsidR="00624FC9">
        <w:rPr>
          <w:rFonts w:hint="cs"/>
          <w:b/>
          <w:bCs/>
          <w:rtl/>
        </w:rPr>
        <w:t>יצחק וקנין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מסעוד גנאים</w:t>
      </w:r>
      <w:r w:rsidR="00624FC9" w:rsidRPr="00624FC9">
        <w:rPr>
          <w:rFonts w:hint="cs"/>
          <w:b/>
          <w:bCs/>
          <w:rtl/>
        </w:rPr>
        <w:t xml:space="preserve"> </w:t>
      </w:r>
      <w:r w:rsidR="00624FC9">
        <w:rPr>
          <w:b/>
          <w:bCs/>
          <w:rtl/>
        </w:rPr>
        <w:tab/>
      </w:r>
      <w:r w:rsidR="00624FC9">
        <w:rPr>
          <w:b/>
          <w:bCs/>
          <w:rtl/>
        </w:rPr>
        <w:tab/>
      </w:r>
      <w:r w:rsidR="00624FC9">
        <w:rPr>
          <w:rFonts w:hint="cs"/>
          <w:b/>
          <w:bCs/>
          <w:rtl/>
        </w:rPr>
        <w:t>רחל עזריה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אוסאמה סעדי</w:t>
      </w:r>
      <w:r w:rsidR="00624FC9" w:rsidRPr="00624FC9">
        <w:rPr>
          <w:rFonts w:hint="cs"/>
          <w:b/>
          <w:bCs/>
          <w:rtl/>
        </w:rPr>
        <w:t xml:space="preserve"> </w:t>
      </w:r>
      <w:r w:rsidR="00624FC9">
        <w:rPr>
          <w:b/>
          <w:bCs/>
          <w:rtl/>
        </w:rPr>
        <w:tab/>
      </w:r>
      <w:r w:rsidR="00624FC9">
        <w:rPr>
          <w:b/>
          <w:bCs/>
          <w:rtl/>
        </w:rPr>
        <w:tab/>
      </w:r>
      <w:r w:rsidR="00624FC9">
        <w:rPr>
          <w:rFonts w:hint="cs"/>
          <w:b/>
          <w:bCs/>
          <w:rtl/>
        </w:rPr>
        <w:t>שרון גל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אחמד טיבי</w:t>
      </w:r>
      <w:r w:rsidR="00624FC9" w:rsidRPr="00624FC9">
        <w:rPr>
          <w:rFonts w:hint="cs"/>
          <w:b/>
          <w:bCs/>
          <w:rtl/>
        </w:rPr>
        <w:t xml:space="preserve"> </w:t>
      </w:r>
      <w:r w:rsidR="00624FC9">
        <w:rPr>
          <w:b/>
          <w:bCs/>
          <w:rtl/>
        </w:rPr>
        <w:tab/>
      </w:r>
      <w:r w:rsidR="00624FC9">
        <w:rPr>
          <w:b/>
          <w:bCs/>
          <w:rtl/>
        </w:rPr>
        <w:tab/>
      </w:r>
      <w:r w:rsidR="00624FC9">
        <w:rPr>
          <w:rFonts w:hint="cs"/>
          <w:b/>
          <w:bCs/>
          <w:rtl/>
        </w:rPr>
        <w:t>אברהם נגוסה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קארין אלהרר</w:t>
      </w:r>
      <w:r w:rsidR="00624FC9" w:rsidRPr="00624FC9">
        <w:rPr>
          <w:rFonts w:hint="cs"/>
          <w:b/>
          <w:bCs/>
          <w:rtl/>
        </w:rPr>
        <w:t xml:space="preserve"> </w:t>
      </w:r>
      <w:r w:rsidR="00624FC9">
        <w:rPr>
          <w:b/>
          <w:bCs/>
          <w:rtl/>
        </w:rPr>
        <w:tab/>
      </w:r>
      <w:r w:rsidR="00624FC9">
        <w:rPr>
          <w:b/>
          <w:bCs/>
          <w:rtl/>
        </w:rPr>
        <w:tab/>
      </w:r>
      <w:r w:rsidR="00624FC9">
        <w:rPr>
          <w:rFonts w:hint="cs"/>
          <w:b/>
          <w:bCs/>
          <w:rtl/>
        </w:rPr>
        <w:t>איציק שמולי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עיסאווי פריג'</w:t>
      </w:r>
      <w:r w:rsidR="00624FC9" w:rsidRPr="00624FC9">
        <w:rPr>
          <w:rFonts w:hint="cs"/>
          <w:b/>
          <w:bCs/>
          <w:rtl/>
        </w:rPr>
        <w:t xml:space="preserve"> </w:t>
      </w:r>
      <w:r w:rsidR="00624FC9">
        <w:rPr>
          <w:b/>
          <w:bCs/>
          <w:rtl/>
        </w:rPr>
        <w:tab/>
      </w:r>
      <w:r w:rsidR="00624FC9">
        <w:rPr>
          <w:b/>
          <w:bCs/>
          <w:rtl/>
        </w:rPr>
        <w:tab/>
      </w:r>
      <w:r w:rsidR="00624FC9">
        <w:rPr>
          <w:rFonts w:hint="cs"/>
          <w:b/>
          <w:bCs/>
          <w:rtl/>
        </w:rPr>
        <w:t>יעקב פרי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איילת נחמיאס ורבין</w:t>
      </w:r>
      <w:r w:rsidR="00624FC9" w:rsidRPr="00624FC9">
        <w:rPr>
          <w:rFonts w:hint="cs"/>
          <w:b/>
          <w:bCs/>
          <w:rtl/>
        </w:rPr>
        <w:t xml:space="preserve"> </w:t>
      </w:r>
      <w:r w:rsidR="00624FC9">
        <w:rPr>
          <w:b/>
          <w:bCs/>
          <w:rtl/>
        </w:rPr>
        <w:tab/>
      </w:r>
      <w:r w:rsidR="00624FC9">
        <w:rPr>
          <w:rFonts w:hint="cs"/>
          <w:b/>
          <w:bCs/>
          <w:rtl/>
        </w:rPr>
        <w:t>עליזה לביא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מיכאל אורן</w:t>
      </w:r>
      <w:r w:rsidR="00624FC9" w:rsidRPr="00624FC9">
        <w:rPr>
          <w:rFonts w:hint="cs"/>
          <w:b/>
          <w:bCs/>
          <w:rtl/>
        </w:rPr>
        <w:t xml:space="preserve"> </w:t>
      </w:r>
      <w:r w:rsidR="00624FC9">
        <w:rPr>
          <w:b/>
          <w:bCs/>
          <w:rtl/>
        </w:rPr>
        <w:tab/>
      </w:r>
      <w:r w:rsidR="00624FC9">
        <w:rPr>
          <w:b/>
          <w:bCs/>
          <w:rtl/>
        </w:rPr>
        <w:tab/>
      </w:r>
      <w:r w:rsidR="00624FC9">
        <w:rPr>
          <w:rFonts w:hint="cs"/>
          <w:b/>
          <w:bCs/>
          <w:rtl/>
        </w:rPr>
        <w:t>נחמן שי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נורית קורן</w:t>
      </w:r>
      <w:r w:rsidR="00624FC9" w:rsidRPr="00624FC9">
        <w:rPr>
          <w:rFonts w:hint="cs"/>
          <w:b/>
          <w:bCs/>
          <w:rtl/>
        </w:rPr>
        <w:t xml:space="preserve"> </w:t>
      </w:r>
      <w:r w:rsidR="00624FC9">
        <w:rPr>
          <w:b/>
          <w:bCs/>
          <w:rtl/>
        </w:rPr>
        <w:tab/>
      </w:r>
      <w:r w:rsidR="00624FC9">
        <w:rPr>
          <w:b/>
          <w:bCs/>
          <w:rtl/>
        </w:rPr>
        <w:tab/>
      </w:r>
      <w:r w:rsidR="00624FC9">
        <w:rPr>
          <w:rFonts w:hint="cs"/>
          <w:b/>
          <w:bCs/>
          <w:rtl/>
        </w:rPr>
        <w:t>יפעת שאשא ביטון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משה גפני</w:t>
      </w:r>
      <w:r w:rsidR="00624FC9" w:rsidRPr="00624FC9">
        <w:rPr>
          <w:rFonts w:hint="cs"/>
          <w:b/>
          <w:bCs/>
          <w:rtl/>
        </w:rPr>
        <w:t xml:space="preserve"> </w:t>
      </w:r>
      <w:r w:rsidR="00624FC9">
        <w:rPr>
          <w:b/>
          <w:bCs/>
          <w:rtl/>
        </w:rPr>
        <w:tab/>
      </w:r>
      <w:r w:rsidR="00624FC9">
        <w:rPr>
          <w:b/>
          <w:bCs/>
          <w:rtl/>
        </w:rPr>
        <w:tab/>
      </w:r>
      <w:r w:rsidR="00624FC9">
        <w:rPr>
          <w:rFonts w:hint="cs"/>
          <w:b/>
          <w:bCs/>
          <w:rtl/>
        </w:rPr>
        <w:t>רוברט אילטוב</w:t>
      </w:r>
      <w:bookmarkStart w:id="5" w:name="LGS_Join_List"/>
      <w:r w:rsidR="00624FC9">
        <w:rPr>
          <w:rtl/>
        </w:rPr>
        <w:t xml:space="preserve"> </w:t>
      </w:r>
      <w:bookmarkEnd w:id="5"/>
      <w:r w:rsidR="00624FC9" w:rsidRPr="00CF1AA2">
        <w:rPr>
          <w:rFonts w:hint="cs"/>
          <w:rtl/>
        </w:rPr>
        <w:tab/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מנחם אליעזר מוזס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End w:id="4"/>
      <w:r w:rsidR="00266D86">
        <w:t>___</w:t>
      </w:r>
      <w:r w:rsidR="00E374F2">
        <w:t>__</w:t>
      </w:r>
      <w:r w:rsidR="00266D86">
        <w:t>________________________________________</w:t>
      </w:r>
      <w:r w:rsidR="00E13C27" w:rsidRPr="00E06736">
        <w:rPr>
          <w:rFonts w:hint="cs"/>
          <w:rtl/>
        </w:rPr>
        <w:tab/>
      </w:r>
      <w:r w:rsidR="00624FC9">
        <w:rPr>
          <w:rtl/>
        </w:rPr>
        <w:tab/>
      </w:r>
      <w:r w:rsidR="00624FC9">
        <w:rPr>
          <w:rtl/>
        </w:rPr>
        <w:tab/>
      </w:r>
      <w:r w:rsidR="00624FC9">
        <w:rPr>
          <w:rtl/>
        </w:rPr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904591">
        <w:t xml:space="preserve">           </w:t>
      </w:r>
      <w:bookmarkStart w:id="6" w:name="Private_Number"/>
      <w:r w:rsidR="00624FC9">
        <w:rPr>
          <w:sz w:val="4"/>
          <w:szCs w:val="4"/>
        </w:rPr>
        <w:tab/>
      </w:r>
      <w:r w:rsidR="00904591">
        <w:rPr>
          <w:rFonts w:hint="cs"/>
          <w:rtl/>
        </w:rPr>
        <w:t>פ/1569/20</w:t>
      </w:r>
      <w:bookmarkEnd w:id="6"/>
    </w:p>
    <w:p w14:paraId="7F6961AD" w14:textId="089156B3" w:rsidR="00E13C27" w:rsidRPr="00F67051" w:rsidRDefault="00A443CF" w:rsidP="00DA5F3E">
      <w:pPr>
        <w:pStyle w:val="HeadHatzaotHok"/>
        <w:rPr>
          <w:rtl/>
        </w:rPr>
      </w:pPr>
      <w:bookmarkStart w:id="7" w:name="LGS_Subject"/>
      <w:r>
        <w:rPr>
          <w:rFonts w:hint="cs"/>
          <w:rtl/>
        </w:rPr>
        <w:t>הצעת חוק לתיקון פקודת התעבורה (רכיבה בטוחה על אופניים ואופניים עם מנוע עזר), התשע"ה</w:t>
      </w:r>
      <w:r w:rsidR="00DA5F3E">
        <w:rPr>
          <w:rFonts w:hint="eastAsia"/>
          <w:rtl/>
        </w:rPr>
        <w:t>–</w:t>
      </w:r>
      <w:r>
        <w:rPr>
          <w:rFonts w:hint="cs"/>
          <w:rtl/>
        </w:rPr>
        <w:t>2015</w:t>
      </w:r>
      <w:bookmarkEnd w:id="7"/>
    </w:p>
    <w:p w14:paraId="7F6961AE" w14:textId="77777777" w:rsidR="00E13C27" w:rsidRDefault="00E13C27" w:rsidP="0021633A">
      <w:pPr>
        <w:pStyle w:val="HeadDivreiHesber"/>
        <w:spacing w:before="0" w:after="0"/>
        <w:rPr>
          <w:rtl/>
        </w:rPr>
      </w:pPr>
    </w:p>
    <w:tbl>
      <w:tblPr>
        <w:bidiVisual/>
        <w:tblW w:w="9637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69"/>
        <w:gridCol w:w="624"/>
        <w:gridCol w:w="624"/>
        <w:gridCol w:w="624"/>
        <w:gridCol w:w="624"/>
        <w:gridCol w:w="624"/>
        <w:gridCol w:w="4648"/>
      </w:tblGrid>
      <w:tr w:rsidR="002F1D80" w14:paraId="035EEF3D" w14:textId="77777777" w:rsidTr="00DA5F3E">
        <w:trPr>
          <w:cantSplit/>
        </w:trPr>
        <w:tc>
          <w:tcPr>
            <w:tcW w:w="1869" w:type="dxa"/>
          </w:tcPr>
          <w:p w14:paraId="3863FF98" w14:textId="732049F4" w:rsidR="002F1D80" w:rsidRPr="00932078" w:rsidRDefault="007D36A0" w:rsidP="00411EE3">
            <w:pPr>
              <w:pStyle w:val="TableSideHeading"/>
              <w:ind w:right="0"/>
            </w:pPr>
            <w:r>
              <w:rPr>
                <w:rFonts w:hint="cs"/>
                <w:rtl/>
              </w:rPr>
              <w:t>הוספת סעיף 30א</w:t>
            </w:r>
          </w:p>
        </w:tc>
        <w:tc>
          <w:tcPr>
            <w:tcW w:w="624" w:type="dxa"/>
          </w:tcPr>
          <w:p w14:paraId="6F513EF6" w14:textId="1B57FF0D" w:rsidR="002F1D80" w:rsidRDefault="00FF4E70" w:rsidP="002C3041">
            <w:pPr>
              <w:pStyle w:val="TableText"/>
              <w:keepLines w:val="0"/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7144" w:type="dxa"/>
            <w:gridSpan w:val="5"/>
          </w:tcPr>
          <w:p w14:paraId="1AE94DEB" w14:textId="7D9F13C4" w:rsidR="002F1D80" w:rsidRPr="001E6E82" w:rsidRDefault="00934DA4" w:rsidP="00F04C54">
            <w:pPr>
              <w:pStyle w:val="TableBlock"/>
            </w:pPr>
            <w:r w:rsidRPr="001E6E82">
              <w:rPr>
                <w:rFonts w:hint="cs"/>
                <w:rtl/>
              </w:rPr>
              <w:t>בפקודת הת</w:t>
            </w:r>
            <w:r w:rsidR="00F028C0">
              <w:rPr>
                <w:rFonts w:hint="cs"/>
                <w:rtl/>
              </w:rPr>
              <w:t>עבורה</w:t>
            </w:r>
            <w:r w:rsidR="00DA5F3E">
              <w:rPr>
                <w:rStyle w:val="a5"/>
                <w:rtl/>
              </w:rPr>
              <w:footnoteReference w:id="2"/>
            </w:r>
            <w:r w:rsidR="002169FD">
              <w:rPr>
                <w:rFonts w:hint="cs"/>
                <w:rtl/>
              </w:rPr>
              <w:t xml:space="preserve"> (להלן </w:t>
            </w:r>
            <w:r w:rsidR="002169FD">
              <w:rPr>
                <w:rtl/>
              </w:rPr>
              <w:t>–</w:t>
            </w:r>
            <w:r w:rsidR="002169FD">
              <w:rPr>
                <w:rFonts w:hint="cs"/>
                <w:rtl/>
              </w:rPr>
              <w:t xml:space="preserve"> הפקודה)</w:t>
            </w:r>
            <w:r w:rsidR="00F028C0">
              <w:rPr>
                <w:rFonts w:hint="cs"/>
                <w:rtl/>
              </w:rPr>
              <w:t xml:space="preserve">, </w:t>
            </w:r>
            <w:r w:rsidR="007D36A0">
              <w:rPr>
                <w:rFonts w:hint="cs"/>
                <w:rtl/>
              </w:rPr>
              <w:t>אחרי סעיף 30 יבוא:</w:t>
            </w:r>
          </w:p>
        </w:tc>
      </w:tr>
      <w:tr w:rsidR="00447BFF" w14:paraId="3A45C37F" w14:textId="77777777" w:rsidTr="00F04C54">
        <w:trPr>
          <w:cantSplit/>
          <w:trHeight w:val="60"/>
        </w:trPr>
        <w:tc>
          <w:tcPr>
            <w:tcW w:w="1869" w:type="dxa"/>
          </w:tcPr>
          <w:p w14:paraId="01971F4C" w14:textId="77777777" w:rsidR="00447BFF" w:rsidRDefault="00447BFF">
            <w:pPr>
              <w:pStyle w:val="TableSideHeading"/>
              <w:keepLines w:val="0"/>
            </w:pPr>
          </w:p>
        </w:tc>
        <w:tc>
          <w:tcPr>
            <w:tcW w:w="624" w:type="dxa"/>
          </w:tcPr>
          <w:p w14:paraId="1D985631" w14:textId="77777777" w:rsidR="00447BFF" w:rsidRDefault="00447BFF">
            <w:pPr>
              <w:pStyle w:val="TableText"/>
              <w:keepLines w:val="0"/>
            </w:pPr>
          </w:p>
        </w:tc>
        <w:tc>
          <w:tcPr>
            <w:tcW w:w="1872" w:type="dxa"/>
            <w:gridSpan w:val="3"/>
          </w:tcPr>
          <w:p w14:paraId="782F5663" w14:textId="0135D426" w:rsidR="00447BFF" w:rsidRDefault="006A5F52">
            <w:pPr>
              <w:pStyle w:val="TableInnerSideHeading"/>
            </w:pPr>
            <w:r>
              <w:rPr>
                <w:rFonts w:hint="cs"/>
                <w:rtl/>
              </w:rPr>
              <w:t>"</w:t>
            </w:r>
            <w:r w:rsidR="00447BFF">
              <w:rPr>
                <w:rFonts w:hint="cs"/>
                <w:rtl/>
              </w:rPr>
              <w:t>קביעת עבירות אופניים כעבירות קנס ושיעור הקנס</w:t>
            </w:r>
          </w:p>
        </w:tc>
        <w:tc>
          <w:tcPr>
            <w:tcW w:w="624" w:type="dxa"/>
          </w:tcPr>
          <w:p w14:paraId="4B120F55" w14:textId="1E54087F" w:rsidR="00447BFF" w:rsidRPr="00447BFF" w:rsidRDefault="00447BFF">
            <w:pPr>
              <w:pStyle w:val="TableText"/>
            </w:pPr>
            <w:r>
              <w:rPr>
                <w:rFonts w:hint="cs"/>
                <w:rtl/>
              </w:rPr>
              <w:t>30א.</w:t>
            </w:r>
          </w:p>
        </w:tc>
        <w:tc>
          <w:tcPr>
            <w:tcW w:w="4648" w:type="dxa"/>
          </w:tcPr>
          <w:p w14:paraId="0EE31FC0" w14:textId="6C270A8C" w:rsidR="00447BFF" w:rsidRDefault="00447BFF" w:rsidP="00F04C54">
            <w:pPr>
              <w:pStyle w:val="TableBlock"/>
            </w:pPr>
            <w:r>
              <w:rPr>
                <w:rFonts w:hint="cs"/>
                <w:rtl/>
              </w:rPr>
              <w:t>בלי לגרוע מהוראות סעיף 30, עבירות לפי פסקאות (1) עד (</w:t>
            </w:r>
            <w:r w:rsidR="00F04C54">
              <w:rPr>
                <w:rFonts w:hint="cs"/>
                <w:rtl/>
              </w:rPr>
              <w:t>6</w:t>
            </w:r>
            <w:r>
              <w:rPr>
                <w:rFonts w:hint="cs"/>
                <w:rtl/>
              </w:rPr>
              <w:t xml:space="preserve">) יהיו עבירות קנס, </w:t>
            </w:r>
            <w:r w:rsidR="00E64683">
              <w:rPr>
                <w:rFonts w:hint="cs"/>
                <w:rtl/>
              </w:rPr>
              <w:t>והקנס לגביהן יהיה</w:t>
            </w:r>
            <w:r>
              <w:rPr>
                <w:rFonts w:hint="cs"/>
                <w:rtl/>
              </w:rPr>
              <w:t xml:space="preserve"> 300 שקלים חדשים:</w:t>
            </w:r>
          </w:p>
        </w:tc>
      </w:tr>
      <w:tr w:rsidR="00447BFF" w14:paraId="01A99AC7" w14:textId="77777777" w:rsidTr="00F04C54">
        <w:trPr>
          <w:cantSplit/>
          <w:trHeight w:val="60"/>
        </w:trPr>
        <w:tc>
          <w:tcPr>
            <w:tcW w:w="1869" w:type="dxa"/>
          </w:tcPr>
          <w:p w14:paraId="46151441" w14:textId="77777777" w:rsidR="00447BFF" w:rsidRDefault="00447BFF">
            <w:pPr>
              <w:pStyle w:val="TableSideHeading"/>
            </w:pPr>
          </w:p>
        </w:tc>
        <w:tc>
          <w:tcPr>
            <w:tcW w:w="624" w:type="dxa"/>
          </w:tcPr>
          <w:p w14:paraId="31B6CDF7" w14:textId="77777777" w:rsidR="00447BFF" w:rsidRDefault="00447BFF">
            <w:pPr>
              <w:pStyle w:val="TableText"/>
            </w:pPr>
          </w:p>
        </w:tc>
        <w:tc>
          <w:tcPr>
            <w:tcW w:w="624" w:type="dxa"/>
          </w:tcPr>
          <w:p w14:paraId="4D085A17" w14:textId="77777777" w:rsidR="00447BFF" w:rsidRDefault="00447BFF">
            <w:pPr>
              <w:pStyle w:val="TableText"/>
            </w:pPr>
          </w:p>
        </w:tc>
        <w:tc>
          <w:tcPr>
            <w:tcW w:w="624" w:type="dxa"/>
          </w:tcPr>
          <w:p w14:paraId="54750AA2" w14:textId="77777777" w:rsidR="00447BFF" w:rsidRDefault="00447BFF">
            <w:pPr>
              <w:pStyle w:val="TableText"/>
            </w:pPr>
          </w:p>
        </w:tc>
        <w:tc>
          <w:tcPr>
            <w:tcW w:w="624" w:type="dxa"/>
          </w:tcPr>
          <w:p w14:paraId="2925C05F" w14:textId="77777777" w:rsidR="00447BFF" w:rsidRDefault="00447BFF">
            <w:pPr>
              <w:pStyle w:val="TableText"/>
            </w:pPr>
          </w:p>
        </w:tc>
        <w:tc>
          <w:tcPr>
            <w:tcW w:w="624" w:type="dxa"/>
          </w:tcPr>
          <w:p w14:paraId="2851B5FC" w14:textId="77777777" w:rsidR="00447BFF" w:rsidRDefault="00447BFF">
            <w:pPr>
              <w:pStyle w:val="TableText"/>
            </w:pPr>
          </w:p>
        </w:tc>
        <w:tc>
          <w:tcPr>
            <w:tcW w:w="4648" w:type="dxa"/>
          </w:tcPr>
          <w:p w14:paraId="61BF443C" w14:textId="16CF2BD7" w:rsidR="00447BFF" w:rsidRDefault="003D2AF7" w:rsidP="00A96647">
            <w:pPr>
              <w:pStyle w:val="TableBlock"/>
            </w:pPr>
            <w:r>
              <w:rPr>
                <w:rFonts w:hint="cs"/>
                <w:rtl/>
              </w:rPr>
              <w:t>(1)</w:t>
            </w:r>
            <w:r>
              <w:rPr>
                <w:rtl/>
              </w:rPr>
              <w:tab/>
            </w:r>
            <w:r w:rsidR="00E64683">
              <w:rPr>
                <w:rFonts w:hint="cs"/>
                <w:rtl/>
              </w:rPr>
              <w:t>רכיבה</w:t>
            </w:r>
            <w:r>
              <w:rPr>
                <w:rFonts w:hint="cs"/>
                <w:rtl/>
              </w:rPr>
              <w:t xml:space="preserve"> על אופניים</w:t>
            </w:r>
            <w:r w:rsidR="00F454A3">
              <w:rPr>
                <w:rFonts w:hint="cs"/>
                <w:rtl/>
              </w:rPr>
              <w:t>, אופניים עם מנוע עזר, קורקינט או קורקינט חשמלי</w:t>
            </w:r>
            <w:r w:rsidR="00136F61">
              <w:rPr>
                <w:rFonts w:hint="cs"/>
                <w:rtl/>
              </w:rPr>
              <w:t xml:space="preserve"> כשהוא בתנועה</w:t>
            </w:r>
            <w:r w:rsidR="00F454A3">
              <w:rPr>
                <w:rFonts w:hint="cs"/>
                <w:rtl/>
              </w:rPr>
              <w:t>,</w:t>
            </w:r>
            <w:r w:rsidR="00E646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בלי להחזיק את הכידון, בניגוד להוראות </w:t>
            </w:r>
            <w:r w:rsidR="00E64683">
              <w:rPr>
                <w:rFonts w:hint="cs"/>
                <w:rtl/>
              </w:rPr>
              <w:t>תקנה</w:t>
            </w:r>
            <w:r>
              <w:rPr>
                <w:rFonts w:hint="cs"/>
                <w:rtl/>
              </w:rPr>
              <w:t xml:space="preserve"> </w:t>
            </w:r>
            <w:r w:rsidR="006B74B5">
              <w:rPr>
                <w:rFonts w:hint="cs"/>
                <w:rtl/>
              </w:rPr>
              <w:t>28(א) לתקנות התעבורה</w:t>
            </w:r>
            <w:r w:rsidR="004B613F">
              <w:rPr>
                <w:rFonts w:hint="cs"/>
                <w:rtl/>
              </w:rPr>
              <w:t xml:space="preserve">, </w:t>
            </w:r>
            <w:r w:rsidR="00A96647">
              <w:rPr>
                <w:rFonts w:hint="cs"/>
                <w:rtl/>
              </w:rPr>
              <w:t>התשכ"א</w:t>
            </w:r>
            <w:r w:rsidR="00A96647">
              <w:rPr>
                <w:rFonts w:hint="eastAsia"/>
                <w:rtl/>
              </w:rPr>
              <w:t>–</w:t>
            </w:r>
            <w:r w:rsidR="00A96647">
              <w:rPr>
                <w:rFonts w:hint="cs"/>
                <w:rtl/>
              </w:rPr>
              <w:t>1961</w:t>
            </w:r>
            <w:r w:rsidR="006A5F52">
              <w:rPr>
                <w:rStyle w:val="a5"/>
                <w:rtl/>
              </w:rPr>
              <w:footnoteReference w:id="3"/>
            </w:r>
            <w:r w:rsidR="00E64683">
              <w:rPr>
                <w:rFonts w:hint="cs"/>
                <w:rtl/>
              </w:rPr>
              <w:t>;</w:t>
            </w:r>
          </w:p>
        </w:tc>
      </w:tr>
      <w:tr w:rsidR="006A5F52" w14:paraId="2FBFD57B" w14:textId="77777777" w:rsidTr="006A5F52">
        <w:trPr>
          <w:cantSplit/>
          <w:trHeight w:val="60"/>
        </w:trPr>
        <w:tc>
          <w:tcPr>
            <w:tcW w:w="1869" w:type="dxa"/>
          </w:tcPr>
          <w:p w14:paraId="7B3869D6" w14:textId="77777777" w:rsidR="006A5F52" w:rsidRDefault="006A5F52">
            <w:pPr>
              <w:pStyle w:val="TableSideHeading"/>
            </w:pPr>
          </w:p>
        </w:tc>
        <w:tc>
          <w:tcPr>
            <w:tcW w:w="624" w:type="dxa"/>
          </w:tcPr>
          <w:p w14:paraId="3E413E83" w14:textId="77777777" w:rsidR="006A5F52" w:rsidRDefault="006A5F52" w:rsidP="00F04C54">
            <w:pPr>
              <w:pStyle w:val="TableText"/>
            </w:pPr>
          </w:p>
        </w:tc>
        <w:tc>
          <w:tcPr>
            <w:tcW w:w="624" w:type="dxa"/>
          </w:tcPr>
          <w:p w14:paraId="68080686" w14:textId="77777777" w:rsidR="006A5F52" w:rsidRDefault="006A5F52">
            <w:pPr>
              <w:pStyle w:val="TableText"/>
            </w:pPr>
          </w:p>
        </w:tc>
        <w:tc>
          <w:tcPr>
            <w:tcW w:w="624" w:type="dxa"/>
          </w:tcPr>
          <w:p w14:paraId="16EF21D7" w14:textId="77777777" w:rsidR="006A5F52" w:rsidRDefault="006A5F52">
            <w:pPr>
              <w:pStyle w:val="TableText"/>
            </w:pPr>
          </w:p>
        </w:tc>
        <w:tc>
          <w:tcPr>
            <w:tcW w:w="624" w:type="dxa"/>
          </w:tcPr>
          <w:p w14:paraId="6EF202CE" w14:textId="77777777" w:rsidR="006A5F52" w:rsidRDefault="006A5F52">
            <w:pPr>
              <w:pStyle w:val="TableText"/>
            </w:pPr>
          </w:p>
        </w:tc>
        <w:tc>
          <w:tcPr>
            <w:tcW w:w="624" w:type="dxa"/>
          </w:tcPr>
          <w:p w14:paraId="55628089" w14:textId="77777777" w:rsidR="006A5F52" w:rsidRDefault="006A5F52">
            <w:pPr>
              <w:pStyle w:val="TableText"/>
            </w:pPr>
          </w:p>
        </w:tc>
        <w:tc>
          <w:tcPr>
            <w:tcW w:w="4648" w:type="dxa"/>
          </w:tcPr>
          <w:p w14:paraId="3EE9F098" w14:textId="103E299F" w:rsidR="006A5F52" w:rsidRDefault="006A5F52" w:rsidP="00F04C54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(2)</w:t>
            </w:r>
            <w:r>
              <w:rPr>
                <w:rtl/>
              </w:rPr>
              <w:tab/>
            </w:r>
            <w:r w:rsidR="00E64683">
              <w:rPr>
                <w:rFonts w:hint="cs"/>
                <w:rtl/>
              </w:rPr>
              <w:t>א</w:t>
            </w:r>
            <w:r>
              <w:rPr>
                <w:rFonts w:hint="cs"/>
                <w:rtl/>
              </w:rPr>
              <w:t>ח</w:t>
            </w:r>
            <w:r w:rsidR="00E64683">
              <w:rPr>
                <w:rFonts w:hint="cs"/>
                <w:rtl/>
              </w:rPr>
              <w:t>י</w:t>
            </w:r>
            <w:r>
              <w:rPr>
                <w:rFonts w:hint="cs"/>
                <w:rtl/>
              </w:rPr>
              <w:t>ז</w:t>
            </w:r>
            <w:r w:rsidR="00E64683">
              <w:rPr>
                <w:rFonts w:hint="cs"/>
                <w:rtl/>
              </w:rPr>
              <w:t>ה</w:t>
            </w:r>
            <w:r>
              <w:rPr>
                <w:rFonts w:hint="cs"/>
                <w:rtl/>
              </w:rPr>
              <w:t xml:space="preserve"> בטלפון נייד או </w:t>
            </w:r>
            <w:r w:rsidR="00E64683">
              <w:rPr>
                <w:rFonts w:hint="cs"/>
                <w:rtl/>
              </w:rPr>
              <w:t>שליחה</w:t>
            </w:r>
            <w:r>
              <w:rPr>
                <w:rFonts w:hint="cs"/>
                <w:rtl/>
              </w:rPr>
              <w:t xml:space="preserve"> או </w:t>
            </w:r>
            <w:r w:rsidR="00E64683">
              <w:rPr>
                <w:rFonts w:hint="cs"/>
                <w:rtl/>
              </w:rPr>
              <w:t>קריאת</w:t>
            </w:r>
            <w:r>
              <w:rPr>
                <w:rFonts w:hint="cs"/>
                <w:rtl/>
              </w:rPr>
              <w:t xml:space="preserve"> מסרון (</w:t>
            </w:r>
            <w:r>
              <w:rPr>
                <w:rFonts w:hint="cs"/>
              </w:rPr>
              <w:t>S</w:t>
            </w:r>
            <w:r>
              <w:t>.M.S</w:t>
            </w:r>
            <w:r>
              <w:rPr>
                <w:rFonts w:hint="cs"/>
                <w:rtl/>
              </w:rPr>
              <w:t>)</w:t>
            </w:r>
            <w:r w:rsidR="00136F61">
              <w:rPr>
                <w:rFonts w:hint="cs"/>
                <w:rtl/>
              </w:rPr>
              <w:t>,</w:t>
            </w:r>
            <w:r>
              <w:rPr>
                <w:rFonts w:hint="cs"/>
                <w:rtl/>
              </w:rPr>
              <w:t xml:space="preserve"> בניגוד להוראות </w:t>
            </w:r>
            <w:r w:rsidR="00E64683">
              <w:rPr>
                <w:rFonts w:hint="cs"/>
                <w:rtl/>
              </w:rPr>
              <w:t>תקנה</w:t>
            </w:r>
            <w:r>
              <w:rPr>
                <w:rFonts w:hint="cs"/>
                <w:rtl/>
              </w:rPr>
              <w:t xml:space="preserve"> 28(ב) לתקנות התעבורה</w:t>
            </w:r>
            <w:r w:rsidR="00A96647">
              <w:rPr>
                <w:rFonts w:hint="cs"/>
                <w:rtl/>
              </w:rPr>
              <w:t>, התשכ"א</w:t>
            </w:r>
            <w:r w:rsidR="00A96647">
              <w:rPr>
                <w:rFonts w:hint="eastAsia"/>
                <w:rtl/>
              </w:rPr>
              <w:t>–</w:t>
            </w:r>
            <w:r w:rsidR="00A96647">
              <w:rPr>
                <w:rFonts w:hint="cs"/>
                <w:rtl/>
              </w:rPr>
              <w:t>1961</w:t>
            </w:r>
            <w:r>
              <w:rPr>
                <w:rFonts w:hint="cs"/>
                <w:rtl/>
              </w:rPr>
              <w:t>;</w:t>
            </w:r>
          </w:p>
        </w:tc>
      </w:tr>
      <w:tr w:rsidR="003D2AF7" w14:paraId="26D10A1C" w14:textId="77777777" w:rsidTr="00F04C54">
        <w:trPr>
          <w:cantSplit/>
          <w:trHeight w:val="60"/>
        </w:trPr>
        <w:tc>
          <w:tcPr>
            <w:tcW w:w="1869" w:type="dxa"/>
          </w:tcPr>
          <w:p w14:paraId="0E54A2F7" w14:textId="77777777" w:rsidR="003D2AF7" w:rsidRDefault="003D2AF7">
            <w:pPr>
              <w:pStyle w:val="TableSideHeading"/>
            </w:pPr>
          </w:p>
        </w:tc>
        <w:tc>
          <w:tcPr>
            <w:tcW w:w="624" w:type="dxa"/>
          </w:tcPr>
          <w:p w14:paraId="5FFC9DB8" w14:textId="77777777" w:rsidR="003D2AF7" w:rsidRDefault="003D2AF7" w:rsidP="00F04C54">
            <w:pPr>
              <w:pStyle w:val="TableText"/>
            </w:pPr>
          </w:p>
        </w:tc>
        <w:tc>
          <w:tcPr>
            <w:tcW w:w="624" w:type="dxa"/>
          </w:tcPr>
          <w:p w14:paraId="793B7A53" w14:textId="77777777" w:rsidR="003D2AF7" w:rsidRDefault="003D2AF7">
            <w:pPr>
              <w:pStyle w:val="TableText"/>
            </w:pPr>
          </w:p>
        </w:tc>
        <w:tc>
          <w:tcPr>
            <w:tcW w:w="624" w:type="dxa"/>
          </w:tcPr>
          <w:p w14:paraId="79D0C43A" w14:textId="77777777" w:rsidR="003D2AF7" w:rsidRDefault="003D2AF7">
            <w:pPr>
              <w:pStyle w:val="TableText"/>
            </w:pPr>
          </w:p>
        </w:tc>
        <w:tc>
          <w:tcPr>
            <w:tcW w:w="624" w:type="dxa"/>
          </w:tcPr>
          <w:p w14:paraId="5904CB7F" w14:textId="77777777" w:rsidR="003D2AF7" w:rsidRDefault="003D2AF7">
            <w:pPr>
              <w:pStyle w:val="TableText"/>
            </w:pPr>
          </w:p>
        </w:tc>
        <w:tc>
          <w:tcPr>
            <w:tcW w:w="624" w:type="dxa"/>
          </w:tcPr>
          <w:p w14:paraId="27FFACAB" w14:textId="77777777" w:rsidR="003D2AF7" w:rsidRDefault="003D2AF7">
            <w:pPr>
              <w:pStyle w:val="TableText"/>
            </w:pPr>
          </w:p>
        </w:tc>
        <w:tc>
          <w:tcPr>
            <w:tcW w:w="4648" w:type="dxa"/>
          </w:tcPr>
          <w:p w14:paraId="168FD452" w14:textId="21B2AC7B" w:rsidR="003D2AF7" w:rsidRDefault="003D2AF7" w:rsidP="00F04C54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 w:rsidR="008459F3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)</w:t>
            </w:r>
            <w:r>
              <w:rPr>
                <w:rtl/>
              </w:rPr>
              <w:tab/>
            </w:r>
            <w:r w:rsidR="00E64683">
              <w:rPr>
                <w:rFonts w:hint="cs"/>
                <w:rtl/>
              </w:rPr>
              <w:t>נהיגה</w:t>
            </w:r>
            <w:r>
              <w:rPr>
                <w:rFonts w:hint="cs"/>
                <w:rtl/>
              </w:rPr>
              <w:t xml:space="preserve"> באופניים שבהם מותקן מנוע עזר או </w:t>
            </w:r>
            <w:r w:rsidR="00E64683">
              <w:rPr>
                <w:rFonts w:hint="cs"/>
                <w:rtl/>
              </w:rPr>
              <w:t>החזקה</w:t>
            </w:r>
            <w:r>
              <w:rPr>
                <w:rFonts w:hint="cs"/>
                <w:rtl/>
              </w:rPr>
              <w:t xml:space="preserve"> בהם </w:t>
            </w:r>
            <w:r w:rsidR="00E64683">
              <w:rPr>
                <w:rFonts w:hint="cs"/>
                <w:rtl/>
              </w:rPr>
              <w:t xml:space="preserve"> על ידי מי ש</w:t>
            </w:r>
            <w:r>
              <w:rPr>
                <w:rFonts w:hint="cs"/>
                <w:rtl/>
              </w:rPr>
              <w:t xml:space="preserve">טרם מלאו לו 14 שנים, בניגוד להוראות </w:t>
            </w:r>
            <w:r w:rsidR="00E64683">
              <w:rPr>
                <w:rFonts w:hint="cs"/>
                <w:rtl/>
              </w:rPr>
              <w:t>תקנה</w:t>
            </w:r>
            <w:r>
              <w:rPr>
                <w:rFonts w:hint="cs"/>
                <w:rtl/>
              </w:rPr>
              <w:t xml:space="preserve"> 39טז(1) לתקנות התעבורה</w:t>
            </w:r>
            <w:r w:rsidR="00A96647">
              <w:rPr>
                <w:rFonts w:hint="cs"/>
                <w:rtl/>
              </w:rPr>
              <w:t>, התשכ"א</w:t>
            </w:r>
            <w:r w:rsidR="00A96647">
              <w:rPr>
                <w:rFonts w:hint="eastAsia"/>
                <w:rtl/>
              </w:rPr>
              <w:t>–</w:t>
            </w:r>
            <w:r w:rsidR="00A96647">
              <w:rPr>
                <w:rFonts w:hint="cs"/>
                <w:rtl/>
              </w:rPr>
              <w:t>1961</w:t>
            </w:r>
            <w:r>
              <w:rPr>
                <w:rFonts w:hint="cs"/>
                <w:rtl/>
              </w:rPr>
              <w:t>;</w:t>
            </w:r>
          </w:p>
        </w:tc>
      </w:tr>
      <w:tr w:rsidR="009237EB" w14:paraId="6C8F8542" w14:textId="77777777" w:rsidTr="00F04C54">
        <w:trPr>
          <w:cantSplit/>
          <w:trHeight w:val="60"/>
        </w:trPr>
        <w:tc>
          <w:tcPr>
            <w:tcW w:w="1869" w:type="dxa"/>
          </w:tcPr>
          <w:p w14:paraId="561E51AF" w14:textId="77777777" w:rsidR="009237EB" w:rsidRDefault="009237EB">
            <w:pPr>
              <w:pStyle w:val="TableSideHeading"/>
            </w:pPr>
          </w:p>
        </w:tc>
        <w:tc>
          <w:tcPr>
            <w:tcW w:w="624" w:type="dxa"/>
          </w:tcPr>
          <w:p w14:paraId="6430941E" w14:textId="77777777" w:rsidR="009237EB" w:rsidRDefault="009237EB" w:rsidP="00F04C54">
            <w:pPr>
              <w:pStyle w:val="TableText"/>
            </w:pPr>
          </w:p>
        </w:tc>
        <w:tc>
          <w:tcPr>
            <w:tcW w:w="624" w:type="dxa"/>
          </w:tcPr>
          <w:p w14:paraId="36AF322B" w14:textId="77777777" w:rsidR="009237EB" w:rsidRDefault="009237EB">
            <w:pPr>
              <w:pStyle w:val="TableText"/>
            </w:pPr>
          </w:p>
        </w:tc>
        <w:tc>
          <w:tcPr>
            <w:tcW w:w="624" w:type="dxa"/>
          </w:tcPr>
          <w:p w14:paraId="7A246B57" w14:textId="77777777" w:rsidR="009237EB" w:rsidRDefault="009237EB">
            <w:pPr>
              <w:pStyle w:val="TableText"/>
            </w:pPr>
          </w:p>
        </w:tc>
        <w:tc>
          <w:tcPr>
            <w:tcW w:w="624" w:type="dxa"/>
          </w:tcPr>
          <w:p w14:paraId="6236F2FF" w14:textId="77777777" w:rsidR="009237EB" w:rsidRDefault="009237EB">
            <w:pPr>
              <w:pStyle w:val="TableText"/>
            </w:pPr>
          </w:p>
        </w:tc>
        <w:tc>
          <w:tcPr>
            <w:tcW w:w="624" w:type="dxa"/>
          </w:tcPr>
          <w:p w14:paraId="71150D5B" w14:textId="77777777" w:rsidR="009237EB" w:rsidRDefault="009237EB">
            <w:pPr>
              <w:pStyle w:val="TableText"/>
            </w:pPr>
          </w:p>
        </w:tc>
        <w:tc>
          <w:tcPr>
            <w:tcW w:w="4648" w:type="dxa"/>
          </w:tcPr>
          <w:p w14:paraId="4FAE4B67" w14:textId="5B6BA08C" w:rsidR="009237EB" w:rsidRDefault="006A5F52" w:rsidP="00F04C54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 w:rsidR="008459F3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)</w:t>
            </w:r>
            <w:r>
              <w:rPr>
                <w:rtl/>
              </w:rPr>
              <w:tab/>
            </w:r>
            <w:r w:rsidR="00E64683">
              <w:rPr>
                <w:rFonts w:hint="cs"/>
                <w:rtl/>
              </w:rPr>
              <w:t>הרכבת</w:t>
            </w:r>
            <w:r>
              <w:rPr>
                <w:rFonts w:hint="cs"/>
                <w:rtl/>
              </w:rPr>
              <w:t xml:space="preserve"> אדם אחר על אופניים בטרם מלאו </w:t>
            </w:r>
            <w:r w:rsidR="00136F61">
              <w:rPr>
                <w:rFonts w:hint="cs"/>
                <w:rtl/>
              </w:rPr>
              <w:t>למרכיב</w:t>
            </w:r>
            <w:r>
              <w:rPr>
                <w:rFonts w:hint="cs"/>
                <w:rtl/>
              </w:rPr>
              <w:t xml:space="preserve"> 14 שנים, בניגוד להוראות </w:t>
            </w:r>
            <w:r w:rsidR="00E64683">
              <w:rPr>
                <w:rFonts w:hint="cs"/>
                <w:rtl/>
              </w:rPr>
              <w:t>תקנה</w:t>
            </w:r>
            <w:r>
              <w:rPr>
                <w:rFonts w:hint="cs"/>
                <w:rtl/>
              </w:rPr>
              <w:t xml:space="preserve"> 124(ג) לתקנות התעבורה</w:t>
            </w:r>
            <w:r w:rsidR="00A96647">
              <w:rPr>
                <w:rFonts w:hint="cs"/>
                <w:rtl/>
              </w:rPr>
              <w:t>, התשכ"א</w:t>
            </w:r>
            <w:r w:rsidR="00A96647">
              <w:rPr>
                <w:rFonts w:hint="eastAsia"/>
                <w:rtl/>
              </w:rPr>
              <w:t>–</w:t>
            </w:r>
            <w:r w:rsidR="00A96647">
              <w:rPr>
                <w:rFonts w:hint="cs"/>
                <w:rtl/>
              </w:rPr>
              <w:t>1961</w:t>
            </w:r>
            <w:r>
              <w:rPr>
                <w:rFonts w:hint="cs"/>
                <w:rtl/>
              </w:rPr>
              <w:t>;</w:t>
            </w:r>
          </w:p>
        </w:tc>
      </w:tr>
      <w:tr w:rsidR="009237EB" w14:paraId="2E6969A0" w14:textId="77777777" w:rsidTr="00F04C54">
        <w:trPr>
          <w:cantSplit/>
          <w:trHeight w:val="60"/>
        </w:trPr>
        <w:tc>
          <w:tcPr>
            <w:tcW w:w="1869" w:type="dxa"/>
          </w:tcPr>
          <w:p w14:paraId="1022FA2B" w14:textId="77777777" w:rsidR="009237EB" w:rsidRDefault="009237EB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</w:tcPr>
          <w:p w14:paraId="28E3EF4E" w14:textId="77777777" w:rsidR="009237EB" w:rsidRDefault="009237EB" w:rsidP="00F04C54">
            <w:pPr>
              <w:pStyle w:val="TableText"/>
            </w:pPr>
          </w:p>
        </w:tc>
        <w:tc>
          <w:tcPr>
            <w:tcW w:w="624" w:type="dxa"/>
          </w:tcPr>
          <w:p w14:paraId="4B605934" w14:textId="77777777" w:rsidR="009237EB" w:rsidRDefault="009237EB">
            <w:pPr>
              <w:pStyle w:val="TableText"/>
            </w:pPr>
          </w:p>
        </w:tc>
        <w:tc>
          <w:tcPr>
            <w:tcW w:w="624" w:type="dxa"/>
          </w:tcPr>
          <w:p w14:paraId="4A4AFFE0" w14:textId="77777777" w:rsidR="009237EB" w:rsidRDefault="009237EB">
            <w:pPr>
              <w:pStyle w:val="TableText"/>
            </w:pPr>
          </w:p>
        </w:tc>
        <w:tc>
          <w:tcPr>
            <w:tcW w:w="624" w:type="dxa"/>
          </w:tcPr>
          <w:p w14:paraId="3A470200" w14:textId="77777777" w:rsidR="009237EB" w:rsidRDefault="009237EB">
            <w:pPr>
              <w:pStyle w:val="TableText"/>
            </w:pPr>
          </w:p>
        </w:tc>
        <w:tc>
          <w:tcPr>
            <w:tcW w:w="624" w:type="dxa"/>
          </w:tcPr>
          <w:p w14:paraId="51249ABB" w14:textId="77777777" w:rsidR="009237EB" w:rsidRDefault="009237EB">
            <w:pPr>
              <w:pStyle w:val="TableText"/>
            </w:pPr>
          </w:p>
        </w:tc>
        <w:tc>
          <w:tcPr>
            <w:tcW w:w="4648" w:type="dxa"/>
          </w:tcPr>
          <w:p w14:paraId="0450E4E2" w14:textId="585181B9" w:rsidR="009237EB" w:rsidRDefault="006A5F52" w:rsidP="00F04C54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 w:rsidR="008459F3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)</w:t>
            </w:r>
            <w:r>
              <w:rPr>
                <w:rtl/>
              </w:rPr>
              <w:tab/>
            </w:r>
            <w:r w:rsidR="00E64683">
              <w:rPr>
                <w:rFonts w:hint="cs"/>
                <w:rtl/>
              </w:rPr>
              <w:t>רכיבה</w:t>
            </w:r>
            <w:r>
              <w:rPr>
                <w:rFonts w:hint="cs"/>
                <w:rtl/>
              </w:rPr>
              <w:t xml:space="preserve"> על אופניים על מדרכה או </w:t>
            </w:r>
            <w:r w:rsidR="00E64683">
              <w:rPr>
                <w:rFonts w:hint="cs"/>
                <w:rtl/>
              </w:rPr>
              <w:t xml:space="preserve">על </w:t>
            </w:r>
            <w:r>
              <w:rPr>
                <w:rFonts w:hint="cs"/>
                <w:rtl/>
              </w:rPr>
              <w:t xml:space="preserve">חלק מהדרך המיועד להולכי רגל בלבד, בניגוד להוראות </w:t>
            </w:r>
            <w:r w:rsidR="00136F61">
              <w:rPr>
                <w:rFonts w:hint="cs"/>
                <w:rtl/>
              </w:rPr>
              <w:t>תקנה</w:t>
            </w:r>
            <w:r>
              <w:rPr>
                <w:rFonts w:hint="cs"/>
                <w:rtl/>
              </w:rPr>
              <w:t xml:space="preserve"> 129(א) לתקנות התעבורה</w:t>
            </w:r>
            <w:r w:rsidR="00A96647">
              <w:rPr>
                <w:rFonts w:hint="cs"/>
                <w:rtl/>
              </w:rPr>
              <w:t>, התשכ"א</w:t>
            </w:r>
            <w:r w:rsidR="00A96647">
              <w:rPr>
                <w:rFonts w:hint="eastAsia"/>
                <w:rtl/>
              </w:rPr>
              <w:t>–</w:t>
            </w:r>
            <w:r w:rsidR="00A96647">
              <w:rPr>
                <w:rFonts w:hint="cs"/>
                <w:rtl/>
              </w:rPr>
              <w:t>1961</w:t>
            </w:r>
            <w:r>
              <w:rPr>
                <w:rFonts w:hint="cs"/>
                <w:rtl/>
              </w:rPr>
              <w:t>;</w:t>
            </w:r>
          </w:p>
        </w:tc>
      </w:tr>
      <w:tr w:rsidR="00E64683" w14:paraId="388C4553" w14:textId="77777777" w:rsidTr="006A5F52">
        <w:trPr>
          <w:cantSplit/>
          <w:trHeight w:val="60"/>
        </w:trPr>
        <w:tc>
          <w:tcPr>
            <w:tcW w:w="1869" w:type="dxa"/>
          </w:tcPr>
          <w:p w14:paraId="03A983A7" w14:textId="77777777" w:rsidR="00E64683" w:rsidRDefault="00E64683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</w:tcPr>
          <w:p w14:paraId="192C515F" w14:textId="77777777" w:rsidR="00E64683" w:rsidRDefault="00E64683" w:rsidP="00F04C54">
            <w:pPr>
              <w:pStyle w:val="TableText"/>
            </w:pPr>
          </w:p>
        </w:tc>
        <w:tc>
          <w:tcPr>
            <w:tcW w:w="624" w:type="dxa"/>
          </w:tcPr>
          <w:p w14:paraId="543A69B9" w14:textId="77777777" w:rsidR="00E64683" w:rsidRDefault="00E64683">
            <w:pPr>
              <w:pStyle w:val="TableText"/>
            </w:pPr>
          </w:p>
        </w:tc>
        <w:tc>
          <w:tcPr>
            <w:tcW w:w="624" w:type="dxa"/>
          </w:tcPr>
          <w:p w14:paraId="5FF6D198" w14:textId="77777777" w:rsidR="00E64683" w:rsidRDefault="00E64683">
            <w:pPr>
              <w:pStyle w:val="TableText"/>
            </w:pPr>
          </w:p>
        </w:tc>
        <w:tc>
          <w:tcPr>
            <w:tcW w:w="624" w:type="dxa"/>
          </w:tcPr>
          <w:p w14:paraId="1AD3A9EF" w14:textId="77777777" w:rsidR="00E64683" w:rsidRDefault="00E64683">
            <w:pPr>
              <w:pStyle w:val="TableText"/>
            </w:pPr>
          </w:p>
        </w:tc>
        <w:tc>
          <w:tcPr>
            <w:tcW w:w="624" w:type="dxa"/>
          </w:tcPr>
          <w:p w14:paraId="452AF703" w14:textId="77777777" w:rsidR="00E64683" w:rsidRDefault="00E64683">
            <w:pPr>
              <w:pStyle w:val="TableText"/>
            </w:pPr>
          </w:p>
        </w:tc>
        <w:tc>
          <w:tcPr>
            <w:tcW w:w="4648" w:type="dxa"/>
          </w:tcPr>
          <w:p w14:paraId="1C5308FB" w14:textId="703EE74D" w:rsidR="00E64683" w:rsidRDefault="00E64683" w:rsidP="00F04C54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 w:rsidR="008459F3">
              <w:rPr>
                <w:rFonts w:hint="cs"/>
                <w:rtl/>
              </w:rPr>
              <w:t>6</w:t>
            </w:r>
            <w:r>
              <w:rPr>
                <w:rFonts w:hint="cs"/>
                <w:rtl/>
              </w:rPr>
              <w:t>)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אי מסירת מסמך הכולל את תקנות התעבורה</w:t>
            </w:r>
            <w:r w:rsidR="00624FC9">
              <w:rPr>
                <w:rFonts w:hint="cs"/>
                <w:rtl/>
              </w:rPr>
              <w:t>, התשכ"א</w:t>
            </w:r>
            <w:r w:rsidR="00624FC9">
              <w:rPr>
                <w:rFonts w:hint="eastAsia"/>
                <w:rtl/>
              </w:rPr>
              <w:t>–1961,</w:t>
            </w:r>
            <w:r>
              <w:rPr>
                <w:rFonts w:hint="cs"/>
                <w:rtl/>
              </w:rPr>
              <w:t xml:space="preserve"> שעניינן אופניים עם מנוע עזר, בניגוד להוראות סעיף 65ג1.</w:t>
            </w:r>
            <w:r w:rsidR="00F04C54">
              <w:rPr>
                <w:rFonts w:hint="cs"/>
                <w:rtl/>
              </w:rPr>
              <w:t>"</w:t>
            </w:r>
          </w:p>
        </w:tc>
      </w:tr>
      <w:tr w:rsidR="007D36A0" w14:paraId="44DB9677" w14:textId="77777777" w:rsidTr="00F04C54">
        <w:trPr>
          <w:cantSplit/>
          <w:trHeight w:val="60"/>
        </w:trPr>
        <w:tc>
          <w:tcPr>
            <w:tcW w:w="1869" w:type="dxa"/>
          </w:tcPr>
          <w:p w14:paraId="7133773C" w14:textId="4053C6F1" w:rsidR="007D36A0" w:rsidRDefault="007D36A0" w:rsidP="00F04C54">
            <w:pPr>
              <w:pStyle w:val="TableSideHeading"/>
            </w:pPr>
            <w:r>
              <w:rPr>
                <w:rFonts w:hint="cs"/>
                <w:rtl/>
              </w:rPr>
              <w:t xml:space="preserve">הוספת </w:t>
            </w:r>
            <w:r w:rsidR="00493D0D">
              <w:rPr>
                <w:rFonts w:hint="cs"/>
                <w:rtl/>
              </w:rPr>
              <w:t>סעיף</w:t>
            </w:r>
            <w:r>
              <w:rPr>
                <w:rFonts w:hint="cs"/>
                <w:rtl/>
              </w:rPr>
              <w:t xml:space="preserve"> 65ג1</w:t>
            </w:r>
          </w:p>
        </w:tc>
        <w:tc>
          <w:tcPr>
            <w:tcW w:w="624" w:type="dxa"/>
          </w:tcPr>
          <w:p w14:paraId="5E723B3F" w14:textId="6F936890" w:rsidR="007D36A0" w:rsidRDefault="007D36A0">
            <w:pPr>
              <w:pStyle w:val="TableText"/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7144" w:type="dxa"/>
            <w:gridSpan w:val="5"/>
          </w:tcPr>
          <w:p w14:paraId="5F57C2DE" w14:textId="11C46C68" w:rsidR="007D36A0" w:rsidRPr="00C34DE2" w:rsidRDefault="007D36A0">
            <w:pPr>
              <w:pStyle w:val="TableBlock"/>
            </w:pPr>
            <w:r>
              <w:rPr>
                <w:rFonts w:hint="cs"/>
                <w:rtl/>
              </w:rPr>
              <w:t xml:space="preserve">אחרי סעיף 65ג </w:t>
            </w:r>
            <w:r w:rsidR="00EF73B2">
              <w:rPr>
                <w:rFonts w:hint="cs"/>
                <w:rtl/>
              </w:rPr>
              <w:t xml:space="preserve">לפקודה </w:t>
            </w:r>
            <w:r>
              <w:rPr>
                <w:rFonts w:hint="cs"/>
                <w:rtl/>
              </w:rPr>
              <w:t>יבוא:</w:t>
            </w:r>
          </w:p>
        </w:tc>
      </w:tr>
      <w:tr w:rsidR="00887C09" w14:paraId="03EF2144" w14:textId="77777777" w:rsidTr="00887C09">
        <w:trPr>
          <w:cantSplit/>
          <w:trHeight w:val="60"/>
        </w:trPr>
        <w:tc>
          <w:tcPr>
            <w:tcW w:w="1869" w:type="dxa"/>
          </w:tcPr>
          <w:p w14:paraId="495D4FEF" w14:textId="5B6B89E5" w:rsidR="00887C09" w:rsidRDefault="00887C09">
            <w:pPr>
              <w:pStyle w:val="TableSideHeading"/>
              <w:keepLines w:val="0"/>
            </w:pPr>
          </w:p>
        </w:tc>
        <w:tc>
          <w:tcPr>
            <w:tcW w:w="624" w:type="dxa"/>
          </w:tcPr>
          <w:p w14:paraId="1BD07019" w14:textId="77777777" w:rsidR="00887C09" w:rsidRDefault="00887C09">
            <w:pPr>
              <w:pStyle w:val="TableText"/>
              <w:keepLines w:val="0"/>
            </w:pPr>
          </w:p>
        </w:tc>
        <w:tc>
          <w:tcPr>
            <w:tcW w:w="1872" w:type="dxa"/>
            <w:gridSpan w:val="3"/>
          </w:tcPr>
          <w:p w14:paraId="2669349E" w14:textId="27D044A0" w:rsidR="00887C09" w:rsidRDefault="00E64683" w:rsidP="00F04C54">
            <w:pPr>
              <w:pStyle w:val="TableInnerSideHeading"/>
            </w:pPr>
            <w:r>
              <w:rPr>
                <w:rFonts w:hint="cs"/>
                <w:rtl/>
              </w:rPr>
              <w:t>"</w:t>
            </w:r>
            <w:r w:rsidR="00021E3F">
              <w:rPr>
                <w:rFonts w:hint="cs"/>
                <w:rtl/>
              </w:rPr>
              <w:t xml:space="preserve">מסירת מידע </w:t>
            </w:r>
            <w:r>
              <w:rPr>
                <w:rFonts w:hint="cs"/>
                <w:rtl/>
              </w:rPr>
              <w:t>לגבי</w:t>
            </w:r>
            <w:r w:rsidR="00021E3F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תקנות התעבורה שעניינן</w:t>
            </w:r>
            <w:r w:rsidR="00021E3F">
              <w:rPr>
                <w:rFonts w:hint="cs"/>
                <w:rtl/>
              </w:rPr>
              <w:t xml:space="preserve"> אופניים עם מנוע עזר</w:t>
            </w:r>
            <w:r w:rsidR="009D7429">
              <w:rPr>
                <w:rFonts w:hint="cs"/>
                <w:rtl/>
              </w:rPr>
              <w:t xml:space="preserve"> </w:t>
            </w:r>
          </w:p>
        </w:tc>
        <w:tc>
          <w:tcPr>
            <w:tcW w:w="624" w:type="dxa"/>
          </w:tcPr>
          <w:p w14:paraId="2D145A74" w14:textId="1869589F" w:rsidR="00887C09" w:rsidRDefault="00F454A3" w:rsidP="00F04C54">
            <w:pPr>
              <w:pStyle w:val="TableText"/>
            </w:pPr>
            <w:r>
              <w:rPr>
                <w:rFonts w:hint="cs"/>
                <w:rtl/>
              </w:rPr>
              <w:t>65ג1</w:t>
            </w:r>
            <w:r w:rsidR="00887C09">
              <w:rPr>
                <w:rFonts w:hint="cs"/>
                <w:rtl/>
              </w:rPr>
              <w:t>.</w:t>
            </w:r>
          </w:p>
        </w:tc>
        <w:tc>
          <w:tcPr>
            <w:tcW w:w="4648" w:type="dxa"/>
          </w:tcPr>
          <w:p w14:paraId="00DEF1CE" w14:textId="3258B4DF" w:rsidR="00887C09" w:rsidRDefault="00887C09" w:rsidP="00F04C54">
            <w:pPr>
              <w:pStyle w:val="TableBlock"/>
            </w:pPr>
            <w:r>
              <w:rPr>
                <w:rFonts w:hint="cs"/>
                <w:rtl/>
              </w:rPr>
              <w:t xml:space="preserve">בעל עסק שבו נמכרים אופניים עם מנוע עזר, יספק לצרכן </w:t>
            </w:r>
            <w:r w:rsidR="00DD3467">
              <w:rPr>
                <w:rFonts w:hint="cs"/>
                <w:rtl/>
              </w:rPr>
              <w:t xml:space="preserve">בעת </w:t>
            </w:r>
            <w:r>
              <w:rPr>
                <w:rFonts w:hint="cs"/>
                <w:rtl/>
              </w:rPr>
              <w:t xml:space="preserve">קניית האופניים </w:t>
            </w:r>
            <w:r w:rsidR="00192323">
              <w:rPr>
                <w:rFonts w:hint="cs"/>
                <w:rtl/>
              </w:rPr>
              <w:t>מסמך הכולל את</w:t>
            </w:r>
            <w:r w:rsidR="00DD346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תקנות התעבורה</w:t>
            </w:r>
            <w:r w:rsidR="00624FC9">
              <w:rPr>
                <w:rFonts w:hint="cs"/>
                <w:rtl/>
              </w:rPr>
              <w:t>, התשכ"א</w:t>
            </w:r>
            <w:r w:rsidR="00624FC9">
              <w:rPr>
                <w:rFonts w:hint="eastAsia"/>
                <w:rtl/>
              </w:rPr>
              <w:t>–1961</w:t>
            </w:r>
            <w:r w:rsidR="00624FC9">
              <w:rPr>
                <w:rFonts w:hint="cs"/>
                <w:rtl/>
              </w:rPr>
              <w:t>,</w:t>
            </w:r>
            <w:r>
              <w:rPr>
                <w:rFonts w:hint="cs"/>
                <w:rtl/>
              </w:rPr>
              <w:t xml:space="preserve"> שעניינן אופניים עם מנוע עזר</w:t>
            </w:r>
            <w:r w:rsidR="00192323">
              <w:rPr>
                <w:rFonts w:hint="cs"/>
                <w:rtl/>
              </w:rPr>
              <w:t xml:space="preserve">, </w:t>
            </w:r>
            <w:r w:rsidR="00E64683">
              <w:rPr>
                <w:rFonts w:hint="cs"/>
                <w:rtl/>
              </w:rPr>
              <w:t>כפי</w:t>
            </w:r>
            <w:r w:rsidR="00192323">
              <w:rPr>
                <w:rFonts w:hint="cs"/>
                <w:rtl/>
              </w:rPr>
              <w:t xml:space="preserve"> </w:t>
            </w:r>
            <w:r w:rsidR="00E64683">
              <w:rPr>
                <w:rFonts w:hint="cs"/>
                <w:rtl/>
              </w:rPr>
              <w:t>ש</w:t>
            </w:r>
            <w:r w:rsidR="00192323">
              <w:rPr>
                <w:rFonts w:hint="cs"/>
                <w:rtl/>
              </w:rPr>
              <w:t>פרסם משרד התחבורה והבטיחות בדרכים באתר המשרד</w:t>
            </w:r>
            <w:r>
              <w:rPr>
                <w:rFonts w:hint="cs"/>
                <w:rtl/>
              </w:rPr>
              <w:t>.</w:t>
            </w:r>
            <w:r w:rsidR="00815CEB">
              <w:rPr>
                <w:rFonts w:hint="cs"/>
                <w:rtl/>
              </w:rPr>
              <w:t>"</w:t>
            </w:r>
          </w:p>
        </w:tc>
      </w:tr>
      <w:tr w:rsidR="000E2DC7" w14:paraId="2A981A9E" w14:textId="77777777" w:rsidTr="00F04C54">
        <w:trPr>
          <w:cantSplit/>
          <w:trHeight w:val="60"/>
        </w:trPr>
        <w:tc>
          <w:tcPr>
            <w:tcW w:w="1869" w:type="dxa"/>
          </w:tcPr>
          <w:p w14:paraId="7858A6C2" w14:textId="7E2622F8" w:rsidR="000E2DC7" w:rsidRDefault="000E2DC7">
            <w:pPr>
              <w:pStyle w:val="TableSideHeading"/>
            </w:pPr>
            <w:r>
              <w:rPr>
                <w:rFonts w:hint="cs"/>
                <w:rtl/>
              </w:rPr>
              <w:t>תיקון סעיף 77ד</w:t>
            </w:r>
          </w:p>
        </w:tc>
        <w:tc>
          <w:tcPr>
            <w:tcW w:w="624" w:type="dxa"/>
          </w:tcPr>
          <w:p w14:paraId="7C0250CA" w14:textId="1818746A" w:rsidR="000E2DC7" w:rsidRDefault="000E2DC7">
            <w:pPr>
              <w:pStyle w:val="TableText"/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7144" w:type="dxa"/>
            <w:gridSpan w:val="5"/>
          </w:tcPr>
          <w:p w14:paraId="7FE2605F" w14:textId="35CDB768" w:rsidR="000E2DC7" w:rsidRPr="00C34DE2" w:rsidRDefault="000E2DC7" w:rsidP="00F04C54">
            <w:pPr>
              <w:pStyle w:val="TableBlock"/>
            </w:pPr>
            <w:r>
              <w:rPr>
                <w:rFonts w:hint="cs"/>
                <w:rtl/>
              </w:rPr>
              <w:t>בסעיף 77ד(א)</w:t>
            </w:r>
            <w:r w:rsidR="00EF73B2">
              <w:rPr>
                <w:rFonts w:hint="cs"/>
                <w:rtl/>
              </w:rPr>
              <w:t xml:space="preserve"> לפקודה</w:t>
            </w:r>
            <w:r>
              <w:rPr>
                <w:rFonts w:hint="cs"/>
                <w:rtl/>
              </w:rPr>
              <w:t>, אחרי "לעניין" יבוא "</w:t>
            </w:r>
            <w:r w:rsidR="00815CEB">
              <w:rPr>
                <w:rFonts w:hint="cs"/>
                <w:rtl/>
              </w:rPr>
              <w:t>סעיף 30א ולעניין</w:t>
            </w:r>
            <w:r>
              <w:rPr>
                <w:rFonts w:hint="cs"/>
                <w:rtl/>
              </w:rPr>
              <w:t>".</w:t>
            </w:r>
          </w:p>
        </w:tc>
      </w:tr>
    </w:tbl>
    <w:p w14:paraId="7F6961CA" w14:textId="77777777" w:rsidR="002D1EE3" w:rsidRDefault="002D1EE3" w:rsidP="002D1EE3">
      <w:pPr>
        <w:pStyle w:val="HeadDivreiHesber"/>
        <w:rPr>
          <w:rtl/>
        </w:rPr>
      </w:pPr>
      <w:r w:rsidRPr="0027450A">
        <w:rPr>
          <w:rFonts w:hint="cs"/>
          <w:rtl/>
        </w:rPr>
        <w:t>דברי הסבר</w:t>
      </w:r>
    </w:p>
    <w:p w14:paraId="64FFFB4F" w14:textId="101D79BD" w:rsidR="00C3325D" w:rsidRPr="001E6E82" w:rsidRDefault="00C3325D" w:rsidP="00624FC9">
      <w:pPr>
        <w:pStyle w:val="Hesber"/>
        <w:rPr>
          <w:rtl/>
        </w:rPr>
      </w:pPr>
      <w:r w:rsidRPr="001E6E82">
        <w:rPr>
          <w:rFonts w:hint="cs"/>
          <w:rtl/>
        </w:rPr>
        <w:t xml:space="preserve">תופעת פגיעות </w:t>
      </w:r>
      <w:r w:rsidR="00624FC9">
        <w:rPr>
          <w:rFonts w:hint="cs"/>
          <w:rtl/>
        </w:rPr>
        <w:t>באמצעות</w:t>
      </w:r>
      <w:r w:rsidRPr="001E6E82">
        <w:rPr>
          <w:rFonts w:hint="cs"/>
          <w:rtl/>
        </w:rPr>
        <w:t xml:space="preserve"> אופניים חשמליים הולכת ומתרחבת</w:t>
      </w:r>
      <w:r w:rsidR="00D023DD">
        <w:rPr>
          <w:rFonts w:hint="cs"/>
          <w:rtl/>
        </w:rPr>
        <w:t xml:space="preserve"> בתקופה האחרונה</w:t>
      </w:r>
      <w:r w:rsidRPr="001E6E82">
        <w:rPr>
          <w:rFonts w:hint="cs"/>
          <w:rtl/>
        </w:rPr>
        <w:t>,</w:t>
      </w:r>
      <w:r w:rsidR="00D023DD">
        <w:rPr>
          <w:rFonts w:hint="cs"/>
          <w:rtl/>
        </w:rPr>
        <w:t xml:space="preserve"> ואף צפויה להחמיר בתקופת החופש הגדול אשר מתקרב.</w:t>
      </w:r>
      <w:r w:rsidRPr="001E6E82">
        <w:rPr>
          <w:rFonts w:hint="cs"/>
          <w:rtl/>
        </w:rPr>
        <w:t xml:space="preserve"> בתי החולים מדווחים כי מדי שבוע נער או נערה מנותחים או מאושפזים עקב פגיעות אופניים חשמליים, ומדי יום הולכי רגל נפגעים מאופניים</w:t>
      </w:r>
      <w:r w:rsidR="00B64338">
        <w:rPr>
          <w:rFonts w:hint="cs"/>
          <w:rtl/>
        </w:rPr>
        <w:t>,</w:t>
      </w:r>
      <w:r w:rsidRPr="001E6E82">
        <w:rPr>
          <w:rFonts w:hint="cs"/>
          <w:rtl/>
        </w:rPr>
        <w:t xml:space="preserve"> החל בפגיעות פשוטות </w:t>
      </w:r>
      <w:r w:rsidR="00D023DD">
        <w:rPr>
          <w:rFonts w:hint="cs"/>
          <w:rtl/>
        </w:rPr>
        <w:t>וכלה</w:t>
      </w:r>
      <w:r w:rsidR="00D023DD" w:rsidRPr="001E6E82">
        <w:rPr>
          <w:rFonts w:hint="cs"/>
          <w:rtl/>
        </w:rPr>
        <w:t xml:space="preserve"> </w:t>
      </w:r>
      <w:r w:rsidR="00D023DD">
        <w:rPr>
          <w:rFonts w:hint="cs"/>
          <w:rtl/>
        </w:rPr>
        <w:t>ב</w:t>
      </w:r>
      <w:r w:rsidRPr="001E6E82">
        <w:rPr>
          <w:rFonts w:hint="cs"/>
          <w:rtl/>
        </w:rPr>
        <w:t>פגיעות כירו</w:t>
      </w:r>
      <w:r w:rsidR="001E7719" w:rsidRPr="001E6E82">
        <w:rPr>
          <w:rFonts w:hint="cs"/>
          <w:rtl/>
        </w:rPr>
        <w:t>ר</w:t>
      </w:r>
      <w:r w:rsidRPr="001E6E82">
        <w:rPr>
          <w:rFonts w:hint="cs"/>
          <w:rtl/>
        </w:rPr>
        <w:t xml:space="preserve">גיות. </w:t>
      </w:r>
    </w:p>
    <w:p w14:paraId="5CEED383" w14:textId="0920A61B" w:rsidR="00C10726" w:rsidRDefault="00C3325D" w:rsidP="00F04C54">
      <w:pPr>
        <w:pStyle w:val="Hesber"/>
        <w:rPr>
          <w:rtl/>
        </w:rPr>
      </w:pPr>
      <w:r w:rsidRPr="001E6E82">
        <w:rPr>
          <w:rFonts w:hint="cs"/>
          <w:rtl/>
        </w:rPr>
        <w:t xml:space="preserve">בני נוער בגילאים 12-16 מתנהגים בצורה בריונית במדרכות ובכבישים </w:t>
      </w:r>
      <w:r w:rsidR="00415C48">
        <w:rPr>
          <w:rFonts w:hint="cs"/>
          <w:rtl/>
        </w:rPr>
        <w:t>ו</w:t>
      </w:r>
      <w:r w:rsidR="00D023DD">
        <w:rPr>
          <w:rFonts w:hint="cs"/>
          <w:rtl/>
        </w:rPr>
        <w:t>רוכבים</w:t>
      </w:r>
      <w:r w:rsidRPr="001E6E82">
        <w:rPr>
          <w:rFonts w:hint="cs"/>
          <w:rtl/>
        </w:rPr>
        <w:t xml:space="preserve"> על אופניים חשמליים באופן בלתי אחראי.</w:t>
      </w:r>
      <w:r w:rsidR="00544671">
        <w:rPr>
          <w:rFonts w:hint="cs"/>
          <w:rtl/>
        </w:rPr>
        <w:t xml:space="preserve"> </w:t>
      </w:r>
      <w:r w:rsidRPr="001E6E82">
        <w:rPr>
          <w:rFonts w:hint="cs"/>
          <w:rtl/>
        </w:rPr>
        <w:t xml:space="preserve">אופניים חשמליים </w:t>
      </w:r>
      <w:r w:rsidR="000E2DC7">
        <w:rPr>
          <w:rFonts w:hint="cs"/>
          <w:rtl/>
        </w:rPr>
        <w:t>הם</w:t>
      </w:r>
      <w:r w:rsidR="000E2DC7" w:rsidRPr="001E6E82">
        <w:rPr>
          <w:rFonts w:hint="cs"/>
          <w:rtl/>
        </w:rPr>
        <w:t xml:space="preserve"> </w:t>
      </w:r>
      <w:r w:rsidRPr="001E6E82">
        <w:rPr>
          <w:rFonts w:hint="cs"/>
          <w:rtl/>
        </w:rPr>
        <w:t>כלי תחבורה לכל דבר ועניין ולכן יש להטי</w:t>
      </w:r>
      <w:r w:rsidR="00624FC9">
        <w:rPr>
          <w:rFonts w:hint="cs"/>
          <w:rtl/>
        </w:rPr>
        <w:t>ל קנסות ולחייב אכיפה מוגברת ב</w:t>
      </w:r>
      <w:r w:rsidRPr="001E6E82">
        <w:rPr>
          <w:rFonts w:hint="cs"/>
          <w:rtl/>
        </w:rPr>
        <w:t>תחום.</w:t>
      </w:r>
      <w:r w:rsidR="00D5738A" w:rsidRPr="001E6E82">
        <w:rPr>
          <w:rFonts w:hint="cs"/>
          <w:rtl/>
        </w:rPr>
        <w:t xml:space="preserve"> </w:t>
      </w:r>
    </w:p>
    <w:p w14:paraId="26CB40BC" w14:textId="27535AA9" w:rsidR="00344ED6" w:rsidRPr="001E6E82" w:rsidRDefault="00C10726" w:rsidP="00F04C54">
      <w:pPr>
        <w:pStyle w:val="Hesber"/>
        <w:rPr>
          <w:rtl/>
        </w:rPr>
      </w:pPr>
      <w:r w:rsidRPr="001E6E82">
        <w:rPr>
          <w:rFonts w:hint="cs"/>
          <w:rtl/>
        </w:rPr>
        <w:t xml:space="preserve">בשנתיים האחרונות התרבו באופן דרמטי הדיווחים </w:t>
      </w:r>
      <w:r w:rsidR="00136F61" w:rsidRPr="001E6E82">
        <w:rPr>
          <w:rFonts w:hint="cs"/>
          <w:rtl/>
        </w:rPr>
        <w:t xml:space="preserve">בכל הארץ </w:t>
      </w:r>
      <w:r w:rsidRPr="001E6E82">
        <w:rPr>
          <w:rFonts w:hint="cs"/>
          <w:rtl/>
        </w:rPr>
        <w:t>על פגיעות של רוכבי אופניים</w:t>
      </w:r>
      <w:r w:rsidR="00136F61">
        <w:rPr>
          <w:rFonts w:hint="cs"/>
          <w:rtl/>
        </w:rPr>
        <w:t>,</w:t>
      </w:r>
      <w:r w:rsidRPr="001E6E82">
        <w:rPr>
          <w:rFonts w:hint="cs"/>
          <w:rtl/>
        </w:rPr>
        <w:t xml:space="preserve"> הן חשמליים והן בלתי ממונעים</w:t>
      </w:r>
      <w:r w:rsidR="00136F61">
        <w:rPr>
          <w:rFonts w:hint="cs"/>
          <w:rtl/>
        </w:rPr>
        <w:t>,</w:t>
      </w:r>
      <w:r w:rsidRPr="001E6E82">
        <w:rPr>
          <w:rFonts w:hint="cs"/>
          <w:rtl/>
        </w:rPr>
        <w:t xml:space="preserve"> בהולכי רגל</w:t>
      </w:r>
      <w:r w:rsidR="00136F61">
        <w:rPr>
          <w:rFonts w:hint="cs"/>
          <w:rtl/>
        </w:rPr>
        <w:t>.</w:t>
      </w:r>
      <w:r w:rsidRPr="001E6E82">
        <w:rPr>
          <w:rFonts w:hint="cs"/>
          <w:rtl/>
        </w:rPr>
        <w:t xml:space="preserve"> </w:t>
      </w:r>
      <w:r w:rsidR="00344ED6" w:rsidRPr="001E6E82">
        <w:rPr>
          <w:rFonts w:hint="cs"/>
          <w:rtl/>
        </w:rPr>
        <w:t>ב</w:t>
      </w:r>
      <w:r w:rsidR="00136F61">
        <w:rPr>
          <w:rFonts w:hint="cs"/>
          <w:rtl/>
        </w:rPr>
        <w:t xml:space="preserve">חודש </w:t>
      </w:r>
      <w:r w:rsidR="00344ED6" w:rsidRPr="001E6E82">
        <w:rPr>
          <w:rFonts w:hint="cs"/>
          <w:rtl/>
        </w:rPr>
        <w:t xml:space="preserve">פברואר </w:t>
      </w:r>
      <w:r w:rsidR="00136F61">
        <w:rPr>
          <w:rFonts w:hint="cs"/>
          <w:rtl/>
        </w:rPr>
        <w:t>2015</w:t>
      </w:r>
      <w:r w:rsidR="00136F61" w:rsidRPr="001E6E82">
        <w:rPr>
          <w:rFonts w:hint="cs"/>
          <w:rtl/>
        </w:rPr>
        <w:t xml:space="preserve"> </w:t>
      </w:r>
      <w:r w:rsidR="00344ED6" w:rsidRPr="001E6E82">
        <w:rPr>
          <w:rFonts w:hint="cs"/>
          <w:rtl/>
        </w:rPr>
        <w:t>נהרג אנטוניו רעיה, תושב גבעתיים בן 85</w:t>
      </w:r>
      <w:r w:rsidR="00136F61">
        <w:rPr>
          <w:rFonts w:hint="cs"/>
          <w:rtl/>
        </w:rPr>
        <w:t>,</w:t>
      </w:r>
      <w:r w:rsidR="00344ED6" w:rsidRPr="001E6E82">
        <w:rPr>
          <w:rFonts w:hint="cs"/>
          <w:rtl/>
        </w:rPr>
        <w:t xml:space="preserve"> שנפגע על ידי רוכב אופניים שלא נתפס עד היום.</w:t>
      </w:r>
    </w:p>
    <w:p w14:paraId="23D722D3" w14:textId="57A0A026" w:rsidR="00344ED6" w:rsidRPr="001E6E82" w:rsidRDefault="00344ED6" w:rsidP="001E6E82">
      <w:pPr>
        <w:pStyle w:val="Hesber"/>
        <w:rPr>
          <w:rtl/>
        </w:rPr>
      </w:pPr>
      <w:r w:rsidRPr="001E6E82">
        <w:rPr>
          <w:rFonts w:hint="cs"/>
          <w:rtl/>
        </w:rPr>
        <w:lastRenderedPageBreak/>
        <w:t>מלבד הפגיעות החוזרות ונשנות בהולכי רגל וברוכבי האופניים עצמם</w:t>
      </w:r>
      <w:r w:rsidR="008B781C">
        <w:rPr>
          <w:rFonts w:hint="cs"/>
          <w:rtl/>
        </w:rPr>
        <w:t>,</w:t>
      </w:r>
      <w:r w:rsidRPr="001E6E82">
        <w:rPr>
          <w:rFonts w:hint="cs"/>
          <w:rtl/>
        </w:rPr>
        <w:t xml:space="preserve"> נרשמים גם חיכוכים ועימותים</w:t>
      </w:r>
      <w:r w:rsidR="008B781C">
        <w:rPr>
          <w:rFonts w:hint="cs"/>
          <w:rtl/>
        </w:rPr>
        <w:t>,</w:t>
      </w:r>
      <w:r w:rsidRPr="001E6E82">
        <w:rPr>
          <w:rFonts w:hint="cs"/>
          <w:rtl/>
        </w:rPr>
        <w:t xml:space="preserve"> לעיתים אלימים</w:t>
      </w:r>
      <w:r w:rsidR="008B781C">
        <w:rPr>
          <w:rFonts w:hint="cs"/>
          <w:rtl/>
        </w:rPr>
        <w:t>,</w:t>
      </w:r>
      <w:r w:rsidRPr="001E6E82">
        <w:rPr>
          <w:rFonts w:hint="cs"/>
          <w:rtl/>
        </w:rPr>
        <w:t xml:space="preserve"> בין הולכי רגל לרוכבי אופניים, בשל הצורך שלהם לחלוק יחד מרחב משותף המסכן את ביטחונם.</w:t>
      </w:r>
    </w:p>
    <w:p w14:paraId="7F6961CB" w14:textId="3949C27C" w:rsidR="00E13C27" w:rsidRPr="001E6E82" w:rsidRDefault="00902103" w:rsidP="00F04C54">
      <w:pPr>
        <w:pStyle w:val="Hesber"/>
        <w:rPr>
          <w:rtl/>
        </w:rPr>
      </w:pPr>
      <w:r w:rsidRPr="001E6E82">
        <w:rPr>
          <w:rFonts w:hint="cs"/>
          <w:rtl/>
        </w:rPr>
        <w:t>משרד התחבורה</w:t>
      </w:r>
      <w:r w:rsidR="008B781C">
        <w:rPr>
          <w:rFonts w:hint="cs"/>
          <w:rtl/>
        </w:rPr>
        <w:t xml:space="preserve"> והבטיחות בדרכים</w:t>
      </w:r>
      <w:r w:rsidRPr="001E6E82">
        <w:rPr>
          <w:rFonts w:hint="cs"/>
          <w:rtl/>
        </w:rPr>
        <w:t xml:space="preserve"> הסדיר את נושא האופניים החשמליים בתקנות, שנכנסו לתוקף בספטמבר 2014. לפי התקנות, ניתן לרכוב על אופניים חשמליים רק מגיל 14 ומעלה</w:t>
      </w:r>
      <w:r w:rsidR="008B781C">
        <w:rPr>
          <w:rFonts w:hint="cs"/>
          <w:rtl/>
        </w:rPr>
        <w:t>.</w:t>
      </w:r>
      <w:r w:rsidR="008B781C" w:rsidRPr="001E6E82">
        <w:rPr>
          <w:rFonts w:hint="cs"/>
          <w:rtl/>
        </w:rPr>
        <w:t xml:space="preserve"> </w:t>
      </w:r>
      <w:r w:rsidRPr="001E6E82">
        <w:rPr>
          <w:rFonts w:hint="cs"/>
          <w:rtl/>
        </w:rPr>
        <w:t>כמו כן</w:t>
      </w:r>
      <w:r w:rsidR="008B781C">
        <w:rPr>
          <w:rFonts w:hint="cs"/>
          <w:rtl/>
        </w:rPr>
        <w:t>,</w:t>
      </w:r>
      <w:r w:rsidRPr="001E6E82">
        <w:rPr>
          <w:rFonts w:hint="cs"/>
          <w:rtl/>
        </w:rPr>
        <w:t xml:space="preserve"> חל איסור לרכוב</w:t>
      </w:r>
      <w:r w:rsidR="008B781C">
        <w:rPr>
          <w:rFonts w:hint="cs"/>
          <w:rtl/>
        </w:rPr>
        <w:t xml:space="preserve"> על אופניים</w:t>
      </w:r>
      <w:r w:rsidR="000E2DC7">
        <w:rPr>
          <w:rFonts w:hint="cs"/>
          <w:rtl/>
        </w:rPr>
        <w:t xml:space="preserve"> רגיל</w:t>
      </w:r>
      <w:r w:rsidR="00136F61">
        <w:rPr>
          <w:rFonts w:hint="cs"/>
          <w:rtl/>
        </w:rPr>
        <w:t>ים</w:t>
      </w:r>
      <w:r w:rsidR="000E2DC7">
        <w:rPr>
          <w:rFonts w:hint="cs"/>
          <w:rtl/>
        </w:rPr>
        <w:t xml:space="preserve"> או חשמלי</w:t>
      </w:r>
      <w:r w:rsidR="00136F61">
        <w:rPr>
          <w:rFonts w:hint="cs"/>
          <w:rtl/>
        </w:rPr>
        <w:t>ים</w:t>
      </w:r>
      <w:r w:rsidRPr="001E6E82">
        <w:rPr>
          <w:rFonts w:hint="cs"/>
          <w:rtl/>
        </w:rPr>
        <w:t xml:space="preserve"> על מדרכה או חלק </w:t>
      </w:r>
      <w:r w:rsidR="00136F61">
        <w:rPr>
          <w:rFonts w:hint="cs"/>
          <w:rtl/>
        </w:rPr>
        <w:t>מהדרך המיועד להולכי רגל בלבד</w:t>
      </w:r>
      <w:r w:rsidR="00415C48">
        <w:rPr>
          <w:rFonts w:hint="cs"/>
          <w:rtl/>
        </w:rPr>
        <w:t>.</w:t>
      </w:r>
      <w:r w:rsidRPr="001E6E82">
        <w:rPr>
          <w:rFonts w:hint="cs"/>
          <w:rtl/>
        </w:rPr>
        <w:t xml:space="preserve"> המצב </w:t>
      </w:r>
      <w:r w:rsidR="00694E42">
        <w:rPr>
          <w:rFonts w:hint="cs"/>
          <w:rtl/>
        </w:rPr>
        <w:t>כ</w:t>
      </w:r>
      <w:r w:rsidR="00694E42" w:rsidRPr="001E6E82">
        <w:rPr>
          <w:rFonts w:hint="cs"/>
          <w:rtl/>
        </w:rPr>
        <w:t xml:space="preserve">יום </w:t>
      </w:r>
      <w:r w:rsidRPr="001E6E82">
        <w:rPr>
          <w:rFonts w:hint="cs"/>
          <w:rtl/>
        </w:rPr>
        <w:t>מאפשר לשוטר להוציא את האוויר מהגלגלים של אופניים</w:t>
      </w:r>
      <w:r w:rsidR="00694E42">
        <w:rPr>
          <w:rFonts w:hint="cs"/>
          <w:rtl/>
        </w:rPr>
        <w:t xml:space="preserve"> שרוכבים עליהם תוך הפרת הוראות התקנות,</w:t>
      </w:r>
      <w:r w:rsidRPr="001E6E82">
        <w:rPr>
          <w:rFonts w:hint="cs"/>
          <w:rtl/>
        </w:rPr>
        <w:t xml:space="preserve"> על מנת למנוע הימשכות של העבירה, אך אין בידיו לעשות מעבר לכך. </w:t>
      </w:r>
    </w:p>
    <w:p w14:paraId="02BA0376" w14:textId="4BD741E3" w:rsidR="00FA6266" w:rsidRDefault="00D5738A" w:rsidP="00F04C54">
      <w:pPr>
        <w:pStyle w:val="Hesber"/>
        <w:rPr>
          <w:rtl/>
        </w:rPr>
      </w:pPr>
      <w:r w:rsidRPr="001E6E82">
        <w:rPr>
          <w:rFonts w:hint="cs"/>
          <w:rtl/>
        </w:rPr>
        <w:t>על מנת להרח</w:t>
      </w:r>
      <w:r w:rsidR="00FA6266" w:rsidRPr="001E6E82">
        <w:rPr>
          <w:rFonts w:hint="cs"/>
          <w:rtl/>
        </w:rPr>
        <w:t xml:space="preserve">יב את ההיכרות של ציבור רוכבי האופניים עם התקנות, </w:t>
      </w:r>
      <w:r w:rsidR="00516C3A">
        <w:rPr>
          <w:rFonts w:hint="cs"/>
          <w:rtl/>
        </w:rPr>
        <w:t>מוצע</w:t>
      </w:r>
      <w:r w:rsidR="00516C3A" w:rsidRPr="001E6E82">
        <w:rPr>
          <w:rFonts w:hint="cs"/>
          <w:rtl/>
        </w:rPr>
        <w:t xml:space="preserve"> </w:t>
      </w:r>
      <w:r w:rsidR="00FA6266" w:rsidRPr="001E6E82">
        <w:rPr>
          <w:rFonts w:hint="cs"/>
          <w:rtl/>
        </w:rPr>
        <w:t>ל</w:t>
      </w:r>
      <w:r w:rsidR="00516C3A">
        <w:rPr>
          <w:rFonts w:hint="cs"/>
          <w:rtl/>
        </w:rPr>
        <w:t xml:space="preserve">חייב עוסק המוכר </w:t>
      </w:r>
      <w:r w:rsidR="00FA6266" w:rsidRPr="001E6E82">
        <w:rPr>
          <w:rFonts w:hint="cs"/>
          <w:rtl/>
        </w:rPr>
        <w:t xml:space="preserve">אופניים חשמליים </w:t>
      </w:r>
      <w:r w:rsidR="00516C3A">
        <w:rPr>
          <w:rFonts w:hint="cs"/>
          <w:rtl/>
        </w:rPr>
        <w:t xml:space="preserve">לתת לצרכן מסמך </w:t>
      </w:r>
      <w:r w:rsidR="00FA6266" w:rsidRPr="001E6E82">
        <w:rPr>
          <w:rFonts w:hint="cs"/>
          <w:rtl/>
        </w:rPr>
        <w:t>ובו פירוט של תקנות התעבורה הנוגעות לרכיבה על אופניים חשמליים</w:t>
      </w:r>
      <w:r w:rsidR="00B64338">
        <w:rPr>
          <w:rFonts w:hint="cs"/>
          <w:rtl/>
        </w:rPr>
        <w:t>, כפי שיפרסם משרד התחבורה והבטיחות בדרכים באתר האינטרנט שלו</w:t>
      </w:r>
      <w:r w:rsidR="00FA6266" w:rsidRPr="001E6E82">
        <w:rPr>
          <w:rFonts w:hint="cs"/>
          <w:rtl/>
        </w:rPr>
        <w:t>.</w:t>
      </w:r>
    </w:p>
    <w:p w14:paraId="3600DA35" w14:textId="09B6D542" w:rsidR="008459F3" w:rsidRDefault="00136F61" w:rsidP="00F04C54">
      <w:pPr>
        <w:pStyle w:val="Hesber"/>
        <w:rPr>
          <w:rtl/>
        </w:rPr>
      </w:pPr>
      <w:r>
        <w:rPr>
          <w:rFonts w:hint="cs"/>
          <w:rtl/>
        </w:rPr>
        <w:t xml:space="preserve">כן </w:t>
      </w:r>
      <w:r w:rsidR="008459F3">
        <w:rPr>
          <w:rFonts w:hint="cs"/>
          <w:rtl/>
        </w:rPr>
        <w:t>מוצע לקבוע כי העבירות שלהלן יהיו עבירות קנס</w:t>
      </w:r>
      <w:r>
        <w:rPr>
          <w:rFonts w:hint="cs"/>
          <w:rtl/>
        </w:rPr>
        <w:t xml:space="preserve"> ו</w:t>
      </w:r>
      <w:r w:rsidR="008459F3">
        <w:rPr>
          <w:rFonts w:hint="cs"/>
          <w:rtl/>
        </w:rPr>
        <w:t>לקבוע כי הקנס לגביהן יהיה 300 שקלים חדשים:</w:t>
      </w:r>
    </w:p>
    <w:p w14:paraId="1541BB93" w14:textId="049B4A69" w:rsidR="008459F3" w:rsidRDefault="008459F3" w:rsidP="00F04C54">
      <w:pPr>
        <w:pStyle w:val="Hesber"/>
        <w:numPr>
          <w:ilvl w:val="0"/>
          <w:numId w:val="15"/>
        </w:numPr>
      </w:pPr>
      <w:r>
        <w:rPr>
          <w:rFonts w:hint="cs"/>
          <w:rtl/>
        </w:rPr>
        <w:t>רכיבה על אופניים, אופניים עם מנוע עזר, קורקינט או קורקינט חשמלי, בלי להחזיק את הכידון.</w:t>
      </w:r>
    </w:p>
    <w:p w14:paraId="1926E7E7" w14:textId="35C5EA04" w:rsidR="008459F3" w:rsidRDefault="008459F3" w:rsidP="00F04C54">
      <w:pPr>
        <w:pStyle w:val="Hesber"/>
        <w:numPr>
          <w:ilvl w:val="0"/>
          <w:numId w:val="15"/>
        </w:numPr>
      </w:pPr>
      <w:r>
        <w:rPr>
          <w:rFonts w:hint="cs"/>
          <w:rtl/>
        </w:rPr>
        <w:t>אחיזה בטלפון נייד או שליחה או קריאת מסרון (</w:t>
      </w:r>
      <w:r>
        <w:rPr>
          <w:rFonts w:hint="cs"/>
        </w:rPr>
        <w:t>S</w:t>
      </w:r>
      <w:r>
        <w:t>.M.S</w:t>
      </w:r>
      <w:r>
        <w:rPr>
          <w:rFonts w:hint="cs"/>
          <w:rtl/>
        </w:rPr>
        <w:t>).</w:t>
      </w:r>
    </w:p>
    <w:p w14:paraId="66FA9228" w14:textId="4C1CF369" w:rsidR="008459F3" w:rsidRDefault="008459F3" w:rsidP="00F04C54">
      <w:pPr>
        <w:pStyle w:val="Hesber"/>
        <w:numPr>
          <w:ilvl w:val="0"/>
          <w:numId w:val="15"/>
        </w:numPr>
      </w:pPr>
      <w:r>
        <w:rPr>
          <w:rFonts w:hint="cs"/>
          <w:rtl/>
        </w:rPr>
        <w:t>נהיגה באופניים שבהם מותקן מנוע עזר או החזקה בהם  על ידי מי שטרם מלאו לו 14 שנים.</w:t>
      </w:r>
    </w:p>
    <w:p w14:paraId="2C6C26E5" w14:textId="5B466B54" w:rsidR="008459F3" w:rsidRDefault="008459F3" w:rsidP="00F04C54">
      <w:pPr>
        <w:pStyle w:val="Hesber"/>
        <w:numPr>
          <w:ilvl w:val="0"/>
          <w:numId w:val="15"/>
        </w:numPr>
      </w:pPr>
      <w:r>
        <w:rPr>
          <w:rFonts w:hint="cs"/>
          <w:rtl/>
        </w:rPr>
        <w:t>הרכבת אדם אחר על אופניים בטרם מלאו לרוכב 14 שנים.</w:t>
      </w:r>
    </w:p>
    <w:p w14:paraId="57118E71" w14:textId="4485C795" w:rsidR="008459F3" w:rsidRDefault="008459F3" w:rsidP="00F04C54">
      <w:pPr>
        <w:pStyle w:val="Hesber"/>
        <w:numPr>
          <w:ilvl w:val="0"/>
          <w:numId w:val="15"/>
        </w:numPr>
      </w:pPr>
      <w:r>
        <w:rPr>
          <w:rFonts w:hint="cs"/>
          <w:rtl/>
        </w:rPr>
        <w:t>רכיבה על אופניים על מדרכה או על חלק מהדרך המיועד להולכי רגל בלבד.</w:t>
      </w:r>
    </w:p>
    <w:p w14:paraId="2936538B" w14:textId="44911214" w:rsidR="008459F3" w:rsidRDefault="008459F3" w:rsidP="00F04C54">
      <w:pPr>
        <w:pStyle w:val="Hesber"/>
        <w:numPr>
          <w:ilvl w:val="0"/>
          <w:numId w:val="15"/>
        </w:numPr>
        <w:rPr>
          <w:rtl/>
        </w:rPr>
      </w:pPr>
      <w:r>
        <w:rPr>
          <w:rFonts w:hint="cs"/>
          <w:rtl/>
        </w:rPr>
        <w:t>אי מסירת מסמך הכולל את תקנות התעבורה שעניינן אופניים עם מנוע עזר</w:t>
      </w:r>
      <w:r w:rsidR="00624FC9">
        <w:rPr>
          <w:rFonts w:hint="cs"/>
          <w:rtl/>
        </w:rPr>
        <w:t>.</w:t>
      </w:r>
    </w:p>
    <w:p w14:paraId="1D63F0F8" w14:textId="51EDDA8E" w:rsidR="00411EE3" w:rsidRDefault="00544671" w:rsidP="00F04C54">
      <w:pPr>
        <w:pStyle w:val="Hesber"/>
        <w:rPr>
          <w:rtl/>
        </w:rPr>
      </w:pPr>
      <w:r>
        <w:rPr>
          <w:rFonts w:hint="cs"/>
          <w:rtl/>
        </w:rPr>
        <w:t xml:space="preserve">כמו כן, </w:t>
      </w:r>
      <w:r w:rsidR="00411EE3">
        <w:rPr>
          <w:rFonts w:hint="cs"/>
          <w:rtl/>
        </w:rPr>
        <w:t xml:space="preserve">כיום לפקחי </w:t>
      </w:r>
      <w:r w:rsidR="00136F61">
        <w:rPr>
          <w:rFonts w:hint="cs"/>
          <w:rtl/>
        </w:rPr>
        <w:t xml:space="preserve">הרשויות המקומיות </w:t>
      </w:r>
      <w:r w:rsidR="00411EE3">
        <w:rPr>
          <w:rFonts w:hint="cs"/>
          <w:rtl/>
        </w:rPr>
        <w:t xml:space="preserve">אין סמכות אכיפה </w:t>
      </w:r>
      <w:r w:rsidR="00516C3A">
        <w:rPr>
          <w:rFonts w:hint="cs"/>
          <w:rtl/>
        </w:rPr>
        <w:t>בעניין עבירות</w:t>
      </w:r>
      <w:r w:rsidR="00B64338">
        <w:rPr>
          <w:rFonts w:hint="cs"/>
          <w:rtl/>
        </w:rPr>
        <w:t xml:space="preserve"> שנעשו תוך רכיבה על</w:t>
      </w:r>
      <w:r w:rsidR="00516C3A">
        <w:rPr>
          <w:rFonts w:hint="cs"/>
          <w:rtl/>
        </w:rPr>
        <w:t xml:space="preserve"> </w:t>
      </w:r>
      <w:r w:rsidR="00C21306">
        <w:rPr>
          <w:rFonts w:hint="cs"/>
          <w:rtl/>
        </w:rPr>
        <w:t xml:space="preserve">אופניים </w:t>
      </w:r>
      <w:r w:rsidR="00516C3A">
        <w:rPr>
          <w:rFonts w:hint="cs"/>
          <w:rtl/>
        </w:rPr>
        <w:t xml:space="preserve">או </w:t>
      </w:r>
      <w:r w:rsidR="00C21306">
        <w:rPr>
          <w:rFonts w:hint="cs"/>
          <w:rtl/>
        </w:rPr>
        <w:t>אופניים עם מנוע עזר</w:t>
      </w:r>
      <w:r w:rsidR="00411EE3">
        <w:rPr>
          <w:rFonts w:hint="cs"/>
          <w:rtl/>
        </w:rPr>
        <w:t>.</w:t>
      </w:r>
      <w:r w:rsidR="008459F3">
        <w:rPr>
          <w:rFonts w:hint="cs"/>
          <w:rtl/>
        </w:rPr>
        <w:t xml:space="preserve"> </w:t>
      </w:r>
      <w:r w:rsidR="00516C3A">
        <w:rPr>
          <w:rFonts w:hint="cs"/>
          <w:rtl/>
        </w:rPr>
        <w:t>מוצע ל</w:t>
      </w:r>
      <w:r w:rsidR="00B64338">
        <w:rPr>
          <w:rFonts w:hint="cs"/>
          <w:rtl/>
        </w:rPr>
        <w:t xml:space="preserve">תקן את סעיף 77 ולאפשר לראש הרשות המקומית להסמיך פקחים לאכיפת </w:t>
      </w:r>
      <w:r w:rsidR="008459F3">
        <w:rPr>
          <w:rFonts w:hint="cs"/>
          <w:rtl/>
        </w:rPr>
        <w:t xml:space="preserve">עבירות הקנס שלעיל, בעקבות </w:t>
      </w:r>
      <w:r w:rsidR="00411EE3">
        <w:rPr>
          <w:rFonts w:hint="cs"/>
          <w:rtl/>
        </w:rPr>
        <w:t>דרישה</w:t>
      </w:r>
      <w:r w:rsidR="00516C3A">
        <w:rPr>
          <w:rFonts w:hint="cs"/>
          <w:rtl/>
        </w:rPr>
        <w:t xml:space="preserve"> שעלתה בשנים האחרונות</w:t>
      </w:r>
      <w:r w:rsidR="00411EE3">
        <w:rPr>
          <w:rFonts w:hint="cs"/>
          <w:rtl/>
        </w:rPr>
        <w:t xml:space="preserve"> מצד מספר עיריות </w:t>
      </w:r>
      <w:r w:rsidR="00516C3A">
        <w:rPr>
          <w:rFonts w:hint="cs"/>
          <w:rtl/>
        </w:rPr>
        <w:t>להעניק ל</w:t>
      </w:r>
      <w:r w:rsidR="00411EE3">
        <w:rPr>
          <w:rFonts w:hint="cs"/>
          <w:rtl/>
        </w:rPr>
        <w:t>פקחי העירייה את הסמכויות לאכוף את הנושא</w:t>
      </w:r>
      <w:r w:rsidR="00C21306">
        <w:rPr>
          <w:rFonts w:hint="cs"/>
          <w:rtl/>
        </w:rPr>
        <w:t xml:space="preserve"> על מנת שהולכי הרגל לא יהיו הפקר</w:t>
      </w:r>
      <w:r w:rsidR="00516C3A">
        <w:rPr>
          <w:rFonts w:hint="cs"/>
          <w:rtl/>
        </w:rPr>
        <w:t>.</w:t>
      </w:r>
    </w:p>
    <w:p w14:paraId="642DF3C6" w14:textId="77777777" w:rsidR="00624FC9" w:rsidRDefault="00624FC9" w:rsidP="00F04C54">
      <w:pPr>
        <w:pStyle w:val="Hesber"/>
        <w:rPr>
          <w:rtl/>
        </w:rPr>
      </w:pPr>
    </w:p>
    <w:p w14:paraId="64024057" w14:textId="77777777" w:rsidR="00624FC9" w:rsidRPr="001E6E82" w:rsidRDefault="00624FC9" w:rsidP="00F04C54">
      <w:pPr>
        <w:pStyle w:val="Hesber"/>
        <w:rPr>
          <w:rtl/>
        </w:rPr>
      </w:pPr>
    </w:p>
    <w:p w14:paraId="36DC206D" w14:textId="77777777" w:rsidR="00624FC9" w:rsidRPr="00557D2C" w:rsidRDefault="00624FC9" w:rsidP="00624FC9">
      <w:pPr>
        <w:pStyle w:val="Hesber"/>
        <w:rPr>
          <w:rtl/>
        </w:rPr>
      </w:pPr>
      <w:r w:rsidRPr="00557D2C">
        <w:rPr>
          <w:rtl/>
        </w:rPr>
        <w:t>---------------------------------</w:t>
      </w:r>
    </w:p>
    <w:p w14:paraId="35D4D761" w14:textId="77777777" w:rsidR="00624FC9" w:rsidRPr="00557D2C" w:rsidRDefault="00624FC9" w:rsidP="00624FC9">
      <w:pPr>
        <w:pStyle w:val="Hesber"/>
        <w:rPr>
          <w:rtl/>
        </w:rPr>
      </w:pPr>
      <w:r w:rsidRPr="00557D2C">
        <w:rPr>
          <w:rtl/>
        </w:rPr>
        <w:t>הוגשה ליו"ר הכנסת והסגנים</w:t>
      </w:r>
    </w:p>
    <w:p w14:paraId="41577FA7" w14:textId="77777777" w:rsidR="00624FC9" w:rsidRPr="00557D2C" w:rsidRDefault="00624FC9" w:rsidP="00624FC9">
      <w:pPr>
        <w:pStyle w:val="Hesber"/>
        <w:rPr>
          <w:rtl/>
        </w:rPr>
      </w:pPr>
      <w:r w:rsidRPr="00557D2C">
        <w:rPr>
          <w:rtl/>
        </w:rPr>
        <w:t>והונחה על שולחן הכנסת ביום</w:t>
      </w:r>
    </w:p>
    <w:p w14:paraId="54C8F438" w14:textId="77777777" w:rsidR="00624FC9" w:rsidRPr="007D273A" w:rsidRDefault="00624FC9" w:rsidP="00624FC9">
      <w:pPr>
        <w:pStyle w:val="Hesber"/>
        <w:rPr>
          <w:rtl/>
        </w:rPr>
      </w:pPr>
      <w:r>
        <w:rPr>
          <w:rFonts w:hint="cs"/>
          <w:rtl/>
        </w:rPr>
        <w:t>י"ב</w:t>
      </w:r>
      <w:r w:rsidRPr="00557D2C">
        <w:rPr>
          <w:rFonts w:hint="cs"/>
          <w:rtl/>
        </w:rPr>
        <w:t xml:space="preserve"> </w:t>
      </w:r>
      <w:r>
        <w:rPr>
          <w:rFonts w:hint="cs"/>
          <w:rtl/>
        </w:rPr>
        <w:t xml:space="preserve">בתמוז </w:t>
      </w:r>
      <w:r w:rsidRPr="00557D2C">
        <w:rPr>
          <w:rFonts w:hint="cs"/>
          <w:rtl/>
        </w:rPr>
        <w:t xml:space="preserve">התשע"ה </w:t>
      </w:r>
      <w:r w:rsidRPr="00557D2C">
        <w:rPr>
          <w:rtl/>
        </w:rPr>
        <w:t>–</w:t>
      </w:r>
      <w:r>
        <w:rPr>
          <w:rFonts w:hint="cs"/>
          <w:rtl/>
        </w:rPr>
        <w:t xml:space="preserve"> 29.6.15</w:t>
      </w:r>
    </w:p>
    <w:p w14:paraId="46C6DBEE" w14:textId="77777777" w:rsidR="00FA6266" w:rsidRDefault="00FA6266" w:rsidP="00E13C27">
      <w:pPr>
        <w:pStyle w:val="Hesber"/>
        <w:rPr>
          <w:rtl/>
        </w:rPr>
      </w:pPr>
    </w:p>
    <w:sectPr w:rsidR="00FA6266" w:rsidSect="001207F8">
      <w:footerReference w:type="even" r:id="rId12"/>
      <w:footerReference w:type="default" r:id="rId13"/>
      <w:pgSz w:w="11907" w:h="16840" w:code="9"/>
      <w:pgMar w:top="1134" w:right="1134" w:bottom="1134" w:left="1134" w:header="680" w:footer="680" w:gutter="0"/>
      <w:cols w:space="720"/>
      <w:noEndnote/>
      <w:titlePg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D79AE3" w14:textId="77777777" w:rsidR="00D94187" w:rsidRDefault="00D94187">
      <w:r>
        <w:separator/>
      </w:r>
    </w:p>
  </w:endnote>
  <w:endnote w:type="continuationSeparator" w:id="0">
    <w:p w14:paraId="6CA95015" w14:textId="77777777" w:rsidR="00D94187" w:rsidRDefault="00D94187">
      <w:r>
        <w:continuationSeparator/>
      </w:r>
    </w:p>
  </w:endnote>
  <w:endnote w:type="continuationNotice" w:id="1">
    <w:p w14:paraId="53F2DBDF" w14:textId="77777777" w:rsidR="00D94187" w:rsidRDefault="00D94187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961D5" w14:textId="77777777" w:rsidR="002C3041" w:rsidRDefault="002C3041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end"/>
    </w:r>
  </w:p>
  <w:p w14:paraId="7F6961D6" w14:textId="77777777" w:rsidR="002C3041" w:rsidRDefault="002C304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961D7" w14:textId="77777777" w:rsidR="002C3041" w:rsidRDefault="002C3041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separate"/>
    </w:r>
    <w:r w:rsidR="00581089">
      <w:rPr>
        <w:rStyle w:val="aa"/>
        <w:noProof/>
        <w:rtl/>
      </w:rPr>
      <w:t>3</w:t>
    </w:r>
    <w:r>
      <w:rPr>
        <w:rStyle w:val="aa"/>
        <w:rtl/>
      </w:rPr>
      <w:fldChar w:fldCharType="end"/>
    </w:r>
  </w:p>
  <w:p w14:paraId="7F6961D8" w14:textId="77777777" w:rsidR="002C3041" w:rsidRDefault="002C30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9A808" w14:textId="77777777" w:rsidR="00D94187" w:rsidRDefault="00D94187">
      <w:r>
        <w:separator/>
      </w:r>
    </w:p>
  </w:footnote>
  <w:footnote w:type="continuationSeparator" w:id="0">
    <w:p w14:paraId="5A36DA3F" w14:textId="77777777" w:rsidR="00D94187" w:rsidRDefault="00D94187">
      <w:r>
        <w:continuationSeparator/>
      </w:r>
    </w:p>
  </w:footnote>
  <w:footnote w:type="continuationNotice" w:id="1">
    <w:p w14:paraId="3DE43EDA" w14:textId="77777777" w:rsidR="00D94187" w:rsidRDefault="00D94187"/>
  </w:footnote>
  <w:footnote w:id="2">
    <w:p w14:paraId="61F36969" w14:textId="0AF9F3CF" w:rsidR="00DA5F3E" w:rsidRDefault="00DA5F3E" w:rsidP="00624FC9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="00624FC9">
        <w:rPr>
          <w:rFonts w:hint="cs"/>
          <w:rtl/>
        </w:rPr>
        <w:t>דיני מדינת ישראל, נוסח חדש</w:t>
      </w:r>
      <w:r w:rsidR="00A2472B">
        <w:rPr>
          <w:rFonts w:hint="cs"/>
          <w:rtl/>
        </w:rPr>
        <w:t xml:space="preserve"> 7, עמ' 173.</w:t>
      </w:r>
    </w:p>
  </w:footnote>
  <w:footnote w:id="3">
    <w:p w14:paraId="7A712D52" w14:textId="320B0EA9" w:rsidR="006A5F52" w:rsidRDefault="006A5F52" w:rsidP="006A5F52">
      <w:pPr>
        <w:pStyle w:val="a4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ק"ת התשכ"א, עמ' 1425</w:t>
      </w:r>
      <w:r w:rsidR="00624FC9">
        <w:rPr>
          <w:rFonts w:hint="cs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5CA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E88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DA1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305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22F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06C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FE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42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D08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2910FE"/>
    <w:multiLevelType w:val="hybridMultilevel"/>
    <w:tmpl w:val="405EEA38"/>
    <w:lvl w:ilvl="0" w:tplc="2F88E08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1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01B16"/>
    <w:rsid w:val="00015B27"/>
    <w:rsid w:val="00021E3F"/>
    <w:rsid w:val="00035B3F"/>
    <w:rsid w:val="00063A3E"/>
    <w:rsid w:val="00072CAC"/>
    <w:rsid w:val="0007681A"/>
    <w:rsid w:val="00095731"/>
    <w:rsid w:val="000A0E5B"/>
    <w:rsid w:val="000A542E"/>
    <w:rsid w:val="000E2DC7"/>
    <w:rsid w:val="00102B6B"/>
    <w:rsid w:val="001052D4"/>
    <w:rsid w:val="0010644B"/>
    <w:rsid w:val="001207F8"/>
    <w:rsid w:val="00121924"/>
    <w:rsid w:val="001279A8"/>
    <w:rsid w:val="00136F61"/>
    <w:rsid w:val="0014195F"/>
    <w:rsid w:val="00144518"/>
    <w:rsid w:val="00152609"/>
    <w:rsid w:val="00153E1B"/>
    <w:rsid w:val="00163D88"/>
    <w:rsid w:val="0017043D"/>
    <w:rsid w:val="00192323"/>
    <w:rsid w:val="00193643"/>
    <w:rsid w:val="001A0623"/>
    <w:rsid w:val="001B71D8"/>
    <w:rsid w:val="001C23B0"/>
    <w:rsid w:val="001D7AAF"/>
    <w:rsid w:val="001E2EB9"/>
    <w:rsid w:val="001E6E82"/>
    <w:rsid w:val="001E7719"/>
    <w:rsid w:val="00203A7F"/>
    <w:rsid w:val="0021633A"/>
    <w:rsid w:val="002169FD"/>
    <w:rsid w:val="002200A1"/>
    <w:rsid w:val="002362BF"/>
    <w:rsid w:val="00241B97"/>
    <w:rsid w:val="002425D1"/>
    <w:rsid w:val="00246756"/>
    <w:rsid w:val="00251E58"/>
    <w:rsid w:val="00254605"/>
    <w:rsid w:val="00260C91"/>
    <w:rsid w:val="00266D86"/>
    <w:rsid w:val="002728B4"/>
    <w:rsid w:val="0027600C"/>
    <w:rsid w:val="0029045B"/>
    <w:rsid w:val="00292712"/>
    <w:rsid w:val="002A0C79"/>
    <w:rsid w:val="002A487D"/>
    <w:rsid w:val="002C2E29"/>
    <w:rsid w:val="002C3041"/>
    <w:rsid w:val="002D1EE3"/>
    <w:rsid w:val="002F1316"/>
    <w:rsid w:val="002F1D80"/>
    <w:rsid w:val="003232A2"/>
    <w:rsid w:val="00325C14"/>
    <w:rsid w:val="00344ED6"/>
    <w:rsid w:val="00352700"/>
    <w:rsid w:val="0036422C"/>
    <w:rsid w:val="00364645"/>
    <w:rsid w:val="00366DB7"/>
    <w:rsid w:val="003710F6"/>
    <w:rsid w:val="00386C76"/>
    <w:rsid w:val="00386E88"/>
    <w:rsid w:val="00396585"/>
    <w:rsid w:val="003D2AF7"/>
    <w:rsid w:val="003D6E38"/>
    <w:rsid w:val="003D74A0"/>
    <w:rsid w:val="003F6A56"/>
    <w:rsid w:val="004033D8"/>
    <w:rsid w:val="004073F0"/>
    <w:rsid w:val="00411EE3"/>
    <w:rsid w:val="00412A7D"/>
    <w:rsid w:val="00415C48"/>
    <w:rsid w:val="00416B4D"/>
    <w:rsid w:val="00417CFC"/>
    <w:rsid w:val="00447BFF"/>
    <w:rsid w:val="00493D0D"/>
    <w:rsid w:val="004A06DC"/>
    <w:rsid w:val="004B24ED"/>
    <w:rsid w:val="004B613F"/>
    <w:rsid w:val="004B6625"/>
    <w:rsid w:val="004D2D82"/>
    <w:rsid w:val="004D3876"/>
    <w:rsid w:val="004E4552"/>
    <w:rsid w:val="004E6CDF"/>
    <w:rsid w:val="004F6DC8"/>
    <w:rsid w:val="00516C3A"/>
    <w:rsid w:val="00536339"/>
    <w:rsid w:val="00544671"/>
    <w:rsid w:val="00553C9D"/>
    <w:rsid w:val="00562A66"/>
    <w:rsid w:val="00581089"/>
    <w:rsid w:val="00584FEB"/>
    <w:rsid w:val="005B064E"/>
    <w:rsid w:val="005B444A"/>
    <w:rsid w:val="005D51AE"/>
    <w:rsid w:val="0061796B"/>
    <w:rsid w:val="00624FC9"/>
    <w:rsid w:val="0062674B"/>
    <w:rsid w:val="006363B2"/>
    <w:rsid w:val="00644940"/>
    <w:rsid w:val="006818A9"/>
    <w:rsid w:val="00694E42"/>
    <w:rsid w:val="006A2D81"/>
    <w:rsid w:val="006A5F52"/>
    <w:rsid w:val="006B74B5"/>
    <w:rsid w:val="006C1D0D"/>
    <w:rsid w:val="006D5450"/>
    <w:rsid w:val="006F5913"/>
    <w:rsid w:val="0070601E"/>
    <w:rsid w:val="00710B31"/>
    <w:rsid w:val="00712C72"/>
    <w:rsid w:val="00735FE9"/>
    <w:rsid w:val="00745153"/>
    <w:rsid w:val="00763CAA"/>
    <w:rsid w:val="00765F66"/>
    <w:rsid w:val="0077537A"/>
    <w:rsid w:val="0077630A"/>
    <w:rsid w:val="00781FB7"/>
    <w:rsid w:val="00783148"/>
    <w:rsid w:val="0078664F"/>
    <w:rsid w:val="00795700"/>
    <w:rsid w:val="007C3FA6"/>
    <w:rsid w:val="007D36A0"/>
    <w:rsid w:val="007D585A"/>
    <w:rsid w:val="007D5A12"/>
    <w:rsid w:val="007E59F9"/>
    <w:rsid w:val="007F0E24"/>
    <w:rsid w:val="00810BCD"/>
    <w:rsid w:val="00812C98"/>
    <w:rsid w:val="00814D92"/>
    <w:rsid w:val="00815CEB"/>
    <w:rsid w:val="0083181D"/>
    <w:rsid w:val="00843EB2"/>
    <w:rsid w:val="008459F3"/>
    <w:rsid w:val="00860E16"/>
    <w:rsid w:val="00865572"/>
    <w:rsid w:val="00874BBC"/>
    <w:rsid w:val="00887C09"/>
    <w:rsid w:val="00892135"/>
    <w:rsid w:val="00895449"/>
    <w:rsid w:val="00897879"/>
    <w:rsid w:val="008A6870"/>
    <w:rsid w:val="008B781C"/>
    <w:rsid w:val="008C2DDC"/>
    <w:rsid w:val="008C4744"/>
    <w:rsid w:val="008C7516"/>
    <w:rsid w:val="008E6EC7"/>
    <w:rsid w:val="008F0D63"/>
    <w:rsid w:val="008F1308"/>
    <w:rsid w:val="008F2C35"/>
    <w:rsid w:val="008F6665"/>
    <w:rsid w:val="00902103"/>
    <w:rsid w:val="00904591"/>
    <w:rsid w:val="00905E5F"/>
    <w:rsid w:val="0091204F"/>
    <w:rsid w:val="00912B22"/>
    <w:rsid w:val="009203DB"/>
    <w:rsid w:val="009237EB"/>
    <w:rsid w:val="00923CD4"/>
    <w:rsid w:val="00927E23"/>
    <w:rsid w:val="00930EFE"/>
    <w:rsid w:val="00932078"/>
    <w:rsid w:val="00934DA4"/>
    <w:rsid w:val="00943386"/>
    <w:rsid w:val="00944991"/>
    <w:rsid w:val="009456B6"/>
    <w:rsid w:val="009506D2"/>
    <w:rsid w:val="00957589"/>
    <w:rsid w:val="00966D06"/>
    <w:rsid w:val="00982412"/>
    <w:rsid w:val="00983A8D"/>
    <w:rsid w:val="009A0DB8"/>
    <w:rsid w:val="009A6DDC"/>
    <w:rsid w:val="009A7257"/>
    <w:rsid w:val="009B1475"/>
    <w:rsid w:val="009D4A5E"/>
    <w:rsid w:val="009D6E0A"/>
    <w:rsid w:val="009D7429"/>
    <w:rsid w:val="009E1E33"/>
    <w:rsid w:val="009F6998"/>
    <w:rsid w:val="00A14672"/>
    <w:rsid w:val="00A2472B"/>
    <w:rsid w:val="00A26BD6"/>
    <w:rsid w:val="00A443CF"/>
    <w:rsid w:val="00A6611D"/>
    <w:rsid w:val="00A70C52"/>
    <w:rsid w:val="00A82CB7"/>
    <w:rsid w:val="00A83B39"/>
    <w:rsid w:val="00A90D2D"/>
    <w:rsid w:val="00A942C1"/>
    <w:rsid w:val="00A94F22"/>
    <w:rsid w:val="00A96647"/>
    <w:rsid w:val="00AA0576"/>
    <w:rsid w:val="00AA2F03"/>
    <w:rsid w:val="00AC36F7"/>
    <w:rsid w:val="00AC63A4"/>
    <w:rsid w:val="00AD239E"/>
    <w:rsid w:val="00AD494C"/>
    <w:rsid w:val="00B10265"/>
    <w:rsid w:val="00B14C0C"/>
    <w:rsid w:val="00B16A99"/>
    <w:rsid w:val="00B21211"/>
    <w:rsid w:val="00B35784"/>
    <w:rsid w:val="00B37FA4"/>
    <w:rsid w:val="00B64338"/>
    <w:rsid w:val="00B733A7"/>
    <w:rsid w:val="00B75C91"/>
    <w:rsid w:val="00B975AD"/>
    <w:rsid w:val="00BC28AC"/>
    <w:rsid w:val="00BC45FB"/>
    <w:rsid w:val="00BC7AEC"/>
    <w:rsid w:val="00BF148D"/>
    <w:rsid w:val="00C10726"/>
    <w:rsid w:val="00C207EC"/>
    <w:rsid w:val="00C21306"/>
    <w:rsid w:val="00C23B1A"/>
    <w:rsid w:val="00C310EB"/>
    <w:rsid w:val="00C3325D"/>
    <w:rsid w:val="00C40AC9"/>
    <w:rsid w:val="00C9176A"/>
    <w:rsid w:val="00C9425C"/>
    <w:rsid w:val="00CA1058"/>
    <w:rsid w:val="00CF1AA2"/>
    <w:rsid w:val="00D023DD"/>
    <w:rsid w:val="00D17774"/>
    <w:rsid w:val="00D47BEA"/>
    <w:rsid w:val="00D5738A"/>
    <w:rsid w:val="00D6170C"/>
    <w:rsid w:val="00D63620"/>
    <w:rsid w:val="00D64620"/>
    <w:rsid w:val="00D8410D"/>
    <w:rsid w:val="00D867D7"/>
    <w:rsid w:val="00D867F6"/>
    <w:rsid w:val="00D94187"/>
    <w:rsid w:val="00DA5F3E"/>
    <w:rsid w:val="00DB7060"/>
    <w:rsid w:val="00DD3467"/>
    <w:rsid w:val="00DE3153"/>
    <w:rsid w:val="00DE7A8D"/>
    <w:rsid w:val="00E00160"/>
    <w:rsid w:val="00E02178"/>
    <w:rsid w:val="00E06736"/>
    <w:rsid w:val="00E13C27"/>
    <w:rsid w:val="00E33BBD"/>
    <w:rsid w:val="00E36B44"/>
    <w:rsid w:val="00E374F2"/>
    <w:rsid w:val="00E45103"/>
    <w:rsid w:val="00E4674B"/>
    <w:rsid w:val="00E55A60"/>
    <w:rsid w:val="00E62778"/>
    <w:rsid w:val="00E63D38"/>
    <w:rsid w:val="00E64683"/>
    <w:rsid w:val="00E665B9"/>
    <w:rsid w:val="00EA01E6"/>
    <w:rsid w:val="00EA3DE8"/>
    <w:rsid w:val="00EA6489"/>
    <w:rsid w:val="00EA758F"/>
    <w:rsid w:val="00EC7467"/>
    <w:rsid w:val="00ED4A6F"/>
    <w:rsid w:val="00EE0D74"/>
    <w:rsid w:val="00EE16CC"/>
    <w:rsid w:val="00EF0278"/>
    <w:rsid w:val="00EF3A3A"/>
    <w:rsid w:val="00EF73B2"/>
    <w:rsid w:val="00F028C0"/>
    <w:rsid w:val="00F04C54"/>
    <w:rsid w:val="00F170AE"/>
    <w:rsid w:val="00F17E7F"/>
    <w:rsid w:val="00F454A3"/>
    <w:rsid w:val="00F628D6"/>
    <w:rsid w:val="00F67051"/>
    <w:rsid w:val="00F86A1E"/>
    <w:rsid w:val="00FA5E88"/>
    <w:rsid w:val="00FA6266"/>
    <w:rsid w:val="00FC32B9"/>
    <w:rsid w:val="00FE6630"/>
    <w:rsid w:val="00FF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AE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F170AE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F170AE"/>
    <w:rPr>
      <w:sz w:val="36"/>
      <w:szCs w:val="52"/>
    </w:rPr>
  </w:style>
  <w:style w:type="paragraph" w:customStyle="1" w:styleId="Cover3-Haknesset">
    <w:name w:val="Cover 3-Haknesset"/>
    <w:basedOn w:val="Cover1-Reshumot"/>
    <w:rsid w:val="00F170AE"/>
    <w:rPr>
      <w:b/>
      <w:bCs/>
      <w:spacing w:val="60"/>
    </w:rPr>
  </w:style>
  <w:style w:type="paragraph" w:customStyle="1" w:styleId="Cover4-Date">
    <w:name w:val="Cover 4-Date"/>
    <w:basedOn w:val="a"/>
    <w:rsid w:val="00F170AE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F170AE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F170AE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F170AE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F170AE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F170AE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F170AE"/>
  </w:style>
  <w:style w:type="paragraph" w:customStyle="1" w:styleId="TableBlock">
    <w:name w:val="Table Block"/>
    <w:basedOn w:val="TableText"/>
    <w:rsid w:val="00F170AE"/>
    <w:pPr>
      <w:ind w:right="0"/>
      <w:jc w:val="both"/>
    </w:pPr>
  </w:style>
  <w:style w:type="paragraph" w:customStyle="1" w:styleId="TableHead">
    <w:name w:val="Table Head"/>
    <w:basedOn w:val="TableText"/>
    <w:rsid w:val="00F170AE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F170AE"/>
  </w:style>
  <w:style w:type="paragraph" w:customStyle="1" w:styleId="Hesber">
    <w:name w:val="Hesber"/>
    <w:basedOn w:val="a"/>
    <w:rsid w:val="00F170AE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autoRedefine/>
    <w:semiHidden/>
    <w:rsid w:val="00F170AE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5">
    <w:name w:val="footnote reference"/>
    <w:aliases w:val="Footnote Reference"/>
    <w:basedOn w:val="a0"/>
    <w:semiHidden/>
    <w:rsid w:val="00F170AE"/>
    <w:rPr>
      <w:vertAlign w:val="superscript"/>
    </w:rPr>
  </w:style>
  <w:style w:type="paragraph" w:customStyle="1" w:styleId="HesberHeading">
    <w:name w:val="Hesber Heading"/>
    <w:basedOn w:val="Hesber"/>
    <w:rsid w:val="00F170AE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F170AE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F170AE"/>
    <w:pPr>
      <w:tabs>
        <w:tab w:val="left" w:pos="680"/>
        <w:tab w:val="left" w:pos="1020"/>
      </w:tabs>
      <w:ind w:firstLine="0"/>
    </w:pPr>
  </w:style>
  <w:style w:type="character" w:styleId="a6">
    <w:name w:val="endnote reference"/>
    <w:basedOn w:val="a0"/>
    <w:semiHidden/>
    <w:rsid w:val="00F170AE"/>
    <w:rPr>
      <w:vertAlign w:val="superscript"/>
    </w:rPr>
  </w:style>
  <w:style w:type="paragraph" w:customStyle="1" w:styleId="TableBlockOutdent">
    <w:name w:val="Table BlockOutdent"/>
    <w:basedOn w:val="TableBlock"/>
    <w:rsid w:val="00F170AE"/>
    <w:pPr>
      <w:ind w:left="624" w:hanging="624"/>
    </w:pPr>
  </w:style>
  <w:style w:type="paragraph" w:styleId="a7">
    <w:name w:val="header"/>
    <w:basedOn w:val="a"/>
    <w:rsid w:val="00F170AE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F170AE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F170AE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F170AE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9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a">
    <w:name w:val="page number"/>
    <w:basedOn w:val="a0"/>
    <w:rsid w:val="00F170AE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b">
    <w:name w:val="Balloon Text"/>
    <w:basedOn w:val="a"/>
    <w:link w:val="ac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AE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F170AE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F170AE"/>
    <w:rPr>
      <w:sz w:val="36"/>
      <w:szCs w:val="52"/>
    </w:rPr>
  </w:style>
  <w:style w:type="paragraph" w:customStyle="1" w:styleId="Cover3-Haknesset">
    <w:name w:val="Cover 3-Haknesset"/>
    <w:basedOn w:val="Cover1-Reshumot"/>
    <w:rsid w:val="00F170AE"/>
    <w:rPr>
      <w:b/>
      <w:bCs/>
      <w:spacing w:val="60"/>
    </w:rPr>
  </w:style>
  <w:style w:type="paragraph" w:customStyle="1" w:styleId="Cover4-Date">
    <w:name w:val="Cover 4-Date"/>
    <w:basedOn w:val="a"/>
    <w:rsid w:val="00F170AE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F170AE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F170AE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F170AE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F170AE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F170AE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F170AE"/>
  </w:style>
  <w:style w:type="paragraph" w:customStyle="1" w:styleId="TableBlock">
    <w:name w:val="Table Block"/>
    <w:basedOn w:val="TableText"/>
    <w:rsid w:val="00F170AE"/>
    <w:pPr>
      <w:ind w:right="0"/>
      <w:jc w:val="both"/>
    </w:pPr>
  </w:style>
  <w:style w:type="paragraph" w:customStyle="1" w:styleId="TableHead">
    <w:name w:val="Table Head"/>
    <w:basedOn w:val="TableText"/>
    <w:rsid w:val="00F170AE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F170AE"/>
  </w:style>
  <w:style w:type="paragraph" w:customStyle="1" w:styleId="Hesber">
    <w:name w:val="Hesber"/>
    <w:basedOn w:val="a"/>
    <w:rsid w:val="00F170AE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autoRedefine/>
    <w:semiHidden/>
    <w:rsid w:val="00F170AE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5">
    <w:name w:val="footnote reference"/>
    <w:aliases w:val="Footnote Reference"/>
    <w:basedOn w:val="a0"/>
    <w:semiHidden/>
    <w:rsid w:val="00F170AE"/>
    <w:rPr>
      <w:vertAlign w:val="superscript"/>
    </w:rPr>
  </w:style>
  <w:style w:type="paragraph" w:customStyle="1" w:styleId="HesberHeading">
    <w:name w:val="Hesber Heading"/>
    <w:basedOn w:val="Hesber"/>
    <w:rsid w:val="00F170AE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F170AE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F170AE"/>
    <w:pPr>
      <w:tabs>
        <w:tab w:val="left" w:pos="680"/>
        <w:tab w:val="left" w:pos="1020"/>
      </w:tabs>
      <w:ind w:firstLine="0"/>
    </w:pPr>
  </w:style>
  <w:style w:type="character" w:styleId="a6">
    <w:name w:val="endnote reference"/>
    <w:basedOn w:val="a0"/>
    <w:semiHidden/>
    <w:rsid w:val="00F170AE"/>
    <w:rPr>
      <w:vertAlign w:val="superscript"/>
    </w:rPr>
  </w:style>
  <w:style w:type="paragraph" w:customStyle="1" w:styleId="TableBlockOutdent">
    <w:name w:val="Table BlockOutdent"/>
    <w:basedOn w:val="TableBlock"/>
    <w:rsid w:val="00F170AE"/>
    <w:pPr>
      <w:ind w:left="624" w:hanging="624"/>
    </w:pPr>
  </w:style>
  <w:style w:type="paragraph" w:styleId="a7">
    <w:name w:val="header"/>
    <w:basedOn w:val="a"/>
    <w:rsid w:val="00F170AE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F170AE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F170AE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F170AE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9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a">
    <w:name w:val="page number"/>
    <w:basedOn w:val="a0"/>
    <w:rsid w:val="00F170AE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b">
    <w:name w:val="Balloon Text"/>
    <w:basedOn w:val="a"/>
    <w:link w:val="ac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1E205BBB08441AEFFEBF8ABB23DF1" ma:contentTypeVersion="0" ma:contentTypeDescription="Create a new document." ma:contentTypeScope="" ma:versionID="5e16b795bfa190b891513a8f9da454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0CA49F-ED81-4579-9A7B-8241B23A61B6}"/>
</file>

<file path=customXml/itemProps2.xml><?xml version="1.0" encoding="utf-8"?>
<ds:datastoreItem xmlns:ds="http://schemas.openxmlformats.org/officeDocument/2006/customXml" ds:itemID="{53CDC32B-DD97-493E-9196-3EF77D6F9C7D}"/>
</file>

<file path=customXml/itemProps3.xml><?xml version="1.0" encoding="utf-8"?>
<ds:datastoreItem xmlns:ds="http://schemas.openxmlformats.org/officeDocument/2006/customXml" ds:itemID="{88F4AFE3-9455-419C-8851-785A55F44517}"/>
</file>

<file path=customXml/itemProps4.xml><?xml version="1.0" encoding="utf-8"?>
<ds:datastoreItem xmlns:ds="http://schemas.openxmlformats.org/officeDocument/2006/customXml" ds:itemID="{39F75CEE-8674-4E20-AF86-8E8DBF7370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3832</Characters>
  <Application>Microsoft Office Word</Application>
  <DocSecurity>0</DocSecurity>
  <Lines>31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כוכי שבתאי</cp:lastModifiedBy>
  <cp:revision>2</cp:revision>
  <cp:lastPrinted>2015-06-24T11:43:00Z</cp:lastPrinted>
  <dcterms:created xsi:type="dcterms:W3CDTF">2016-07-07T05:47:00Z</dcterms:created>
  <dcterms:modified xsi:type="dcterms:W3CDTF">2016-07-07T05:47:00Z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0x010100F931E205BBB08441AEFFEBF8ABB23DF1</vt:lpwstr>
  </property>
  <property fmtid="{D5CDD505-2E9C-101B-9397-08002B2CF9AE}" pid="3" name="_dlc_DocIdItemGuid">
    <vt:lpwstr>8badafff-95aa-4718-b074-a2d35988ffa8</vt:lpwstr>
  </property>
  <property fmtid="{D5CDD505-2E9C-101B-9397-08002B2CF9AE}" pid="4" name="SanhedrinDocumentType">
    <vt:r8>88</vt:r8>
  </property>
  <property fmtid="{D5CDD505-2E9C-101B-9397-08002B2CF9AE}" pid="5" name="SanhedrinItemID">
    <vt:r8>2005022</vt:r8>
  </property>
</Properties>
</file>