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298C4" w14:textId="77777777" w:rsidR="00314CB1" w:rsidRPr="0000131B" w:rsidRDefault="00314CB1" w:rsidP="00314CB1">
      <w:pPr>
        <w:pStyle w:val="HeadHatzaotHok"/>
        <w:jc w:val="right"/>
        <w:rPr>
          <w:b w:val="0"/>
          <w:bCs w:val="0"/>
          <w:szCs w:val="20"/>
        </w:rPr>
      </w:pPr>
      <w:bookmarkStart w:id="0" w:name="_GoBack"/>
      <w:bookmarkEnd w:id="0"/>
      <w:r w:rsidRPr="0000131B">
        <w:rPr>
          <w:rFonts w:hint="cs"/>
          <w:b w:val="0"/>
          <w:bCs w:val="0"/>
          <w:szCs w:val="20"/>
          <w:rtl/>
        </w:rPr>
        <w:t xml:space="preserve">מספר פנימי: </w:t>
      </w:r>
      <w:bookmarkStart w:id="1" w:name="LGS_Internal_ID"/>
      <w:r>
        <w:rPr>
          <w:rFonts w:hint="cs"/>
          <w:b w:val="0"/>
          <w:bCs w:val="0"/>
          <w:szCs w:val="20"/>
          <w:rtl/>
        </w:rPr>
        <w:t>570894</w:t>
      </w:r>
      <w:bookmarkEnd w:id="1"/>
    </w:p>
    <w:p w14:paraId="58EB473B" w14:textId="77777777" w:rsidR="00314CB1" w:rsidRPr="00DB7060" w:rsidRDefault="00314CB1" w:rsidP="00314CB1">
      <w:pPr>
        <w:pStyle w:val="HeadHatzaotHok"/>
        <w:rPr>
          <w:sz w:val="28"/>
          <w:szCs w:val="28"/>
          <w:rtl/>
        </w:rPr>
      </w:pPr>
      <w:r w:rsidRPr="00DB7060">
        <w:rPr>
          <w:rFonts w:hint="cs"/>
          <w:sz w:val="28"/>
          <w:szCs w:val="28"/>
          <w:rtl/>
        </w:rPr>
        <w:t xml:space="preserve">הכנסת </w:t>
      </w:r>
      <w:bookmarkStart w:id="2" w:name="LGS_Knesset_Num"/>
      <w:r>
        <w:rPr>
          <w:rFonts w:hint="cs"/>
          <w:sz w:val="28"/>
          <w:szCs w:val="28"/>
          <w:rtl/>
        </w:rPr>
        <w:t>העשרים</w:t>
      </w:r>
      <w:bookmarkEnd w:id="2"/>
    </w:p>
    <w:p w14:paraId="55188CD5" w14:textId="77777777" w:rsidR="00314CB1" w:rsidRPr="00F67051" w:rsidRDefault="00314CB1" w:rsidP="00314CB1">
      <w:pPr>
        <w:rPr>
          <w:rFonts w:cs="David"/>
          <w:b/>
          <w:bCs/>
          <w:sz w:val="26"/>
          <w:szCs w:val="26"/>
          <w:rtl/>
        </w:rPr>
      </w:pPr>
    </w:p>
    <w:p w14:paraId="02D137AD" w14:textId="2C24A4EE" w:rsidR="00314CB1" w:rsidRPr="00CF1AA2" w:rsidRDefault="00314CB1" w:rsidP="00DA3680">
      <w:pPr>
        <w:pStyle w:val="David"/>
        <w:spacing w:line="360" w:lineRule="auto"/>
        <w:ind w:left="3544"/>
        <w:rPr>
          <w:b/>
          <w:bCs/>
          <w:sz w:val="16"/>
          <w:szCs w:val="16"/>
          <w:rtl/>
        </w:rPr>
      </w:pPr>
      <w:bookmarkStart w:id="3" w:name="LGS_Initiators_List"/>
      <w:r>
        <w:rPr>
          <w:b/>
          <w:bCs/>
          <w:rtl/>
        </w:rPr>
        <w:t>יוזמים:      חברי הכנסת</w:t>
      </w:r>
      <w:bookmarkEnd w:id="3"/>
      <w:r w:rsidRPr="00F67051">
        <w:rPr>
          <w:b/>
          <w:bCs/>
        </w:rPr>
        <w:tab/>
      </w:r>
      <w:bookmarkStart w:id="4" w:name="LGS_PM_Names"/>
      <w:r>
        <w:rPr>
          <w:rFonts w:hint="cs"/>
          <w:b/>
          <w:bCs/>
          <w:rtl/>
        </w:rPr>
        <w:t>ישראל אייכלר</w:t>
      </w:r>
      <w:r>
        <w:br/>
      </w:r>
      <w:r>
        <w:rPr>
          <w:rFonts w:hint="cs"/>
          <w:b/>
          <w:bCs/>
          <w:rtl/>
        </w:rPr>
        <w:t xml:space="preserve"> </w:t>
      </w:r>
      <w:r>
        <w:tab/>
      </w:r>
      <w:r>
        <w:tab/>
      </w:r>
      <w:r>
        <w:tab/>
      </w:r>
      <w:r>
        <w:tab/>
      </w:r>
      <w:proofErr w:type="spellStart"/>
      <w:r>
        <w:rPr>
          <w:rFonts w:hint="cs"/>
          <w:b/>
          <w:bCs/>
          <w:rtl/>
        </w:rPr>
        <w:t>מכלוף</w:t>
      </w:r>
      <w:proofErr w:type="spellEnd"/>
      <w:r>
        <w:rPr>
          <w:rFonts w:hint="cs"/>
          <w:b/>
          <w:bCs/>
          <w:rtl/>
        </w:rPr>
        <w:t xml:space="preserve"> מיקי זוהר</w:t>
      </w:r>
      <w:r>
        <w:br/>
      </w:r>
      <w:r>
        <w:rPr>
          <w:rFonts w:hint="cs"/>
          <w:b/>
          <w:bCs/>
          <w:rtl/>
        </w:rPr>
        <w:t xml:space="preserve"> </w:t>
      </w:r>
      <w:r>
        <w:tab/>
      </w:r>
      <w:r>
        <w:tab/>
      </w:r>
      <w:r>
        <w:tab/>
      </w:r>
      <w:r>
        <w:tab/>
      </w:r>
      <w:r>
        <w:rPr>
          <w:rFonts w:hint="cs"/>
          <w:b/>
          <w:bCs/>
          <w:rtl/>
        </w:rPr>
        <w:t>בצלאל סמוטריץ'</w:t>
      </w:r>
      <w:r>
        <w:br/>
      </w:r>
      <w:r>
        <w:rPr>
          <w:rFonts w:hint="cs"/>
          <w:b/>
          <w:bCs/>
          <w:rtl/>
        </w:rPr>
        <w:t xml:space="preserve"> </w:t>
      </w:r>
      <w:r>
        <w:tab/>
      </w:r>
      <w:r>
        <w:tab/>
      </w:r>
      <w:r>
        <w:tab/>
      </w:r>
      <w:r>
        <w:tab/>
      </w:r>
      <w:r>
        <w:rPr>
          <w:rFonts w:hint="cs"/>
          <w:b/>
          <w:bCs/>
          <w:rtl/>
        </w:rPr>
        <w:t>דב חנין</w:t>
      </w:r>
      <w:r>
        <w:br/>
      </w:r>
      <w:r>
        <w:rPr>
          <w:rFonts w:hint="cs"/>
          <w:b/>
          <w:bCs/>
          <w:rtl/>
        </w:rPr>
        <w:t xml:space="preserve"> </w:t>
      </w:r>
      <w:r>
        <w:tab/>
      </w:r>
      <w:r>
        <w:tab/>
      </w:r>
      <w:r>
        <w:tab/>
      </w:r>
      <w:r>
        <w:tab/>
      </w:r>
      <w:r>
        <w:rPr>
          <w:rFonts w:hint="cs"/>
          <w:b/>
          <w:bCs/>
          <w:rtl/>
        </w:rPr>
        <w:t>טלי פלוסקוב</w:t>
      </w:r>
      <w:r>
        <w:br/>
      </w:r>
      <w:r>
        <w:rPr>
          <w:rFonts w:hint="cs"/>
          <w:b/>
          <w:bCs/>
          <w:rtl/>
        </w:rPr>
        <w:t xml:space="preserve"> </w:t>
      </w:r>
      <w:r>
        <w:tab/>
      </w:r>
      <w:r>
        <w:tab/>
      </w:r>
      <w:r>
        <w:tab/>
      </w:r>
      <w:r>
        <w:tab/>
      </w:r>
      <w:r>
        <w:rPr>
          <w:rFonts w:hint="cs"/>
          <w:b/>
          <w:bCs/>
          <w:rtl/>
        </w:rPr>
        <w:t>שולי מועלם-רפאלי</w:t>
      </w:r>
      <w:r>
        <w:br/>
      </w:r>
      <w:r>
        <w:rPr>
          <w:rFonts w:hint="cs"/>
          <w:b/>
          <w:bCs/>
          <w:rtl/>
        </w:rPr>
        <w:t xml:space="preserve"> </w:t>
      </w:r>
      <w:r>
        <w:tab/>
      </w:r>
      <w:r>
        <w:tab/>
      </w:r>
      <w:r>
        <w:tab/>
      </w:r>
      <w:r>
        <w:tab/>
      </w:r>
      <w:r>
        <w:rPr>
          <w:rFonts w:hint="cs"/>
          <w:b/>
          <w:bCs/>
          <w:rtl/>
        </w:rPr>
        <w:t>יוסי יונה</w:t>
      </w:r>
      <w:bookmarkStart w:id="5" w:name="LGS_Join_List"/>
      <w:bookmarkEnd w:id="4"/>
      <w:r>
        <w:rPr>
          <w:rtl/>
        </w:rPr>
        <w:t xml:space="preserve"> </w:t>
      </w:r>
      <w:bookmarkEnd w:id="5"/>
      <w:r w:rsidRPr="00CF1AA2">
        <w:rPr>
          <w:rFonts w:hint="cs"/>
          <w:rtl/>
        </w:rPr>
        <w:tab/>
      </w:r>
      <w:bookmarkStart w:id="6" w:name="LGS_PM_NamesJoin"/>
      <w:r>
        <w:rPr>
          <w:rFonts w:hint="cs"/>
          <w:rtl/>
        </w:rPr>
        <w:t xml:space="preserve"> </w:t>
      </w:r>
      <w:bookmarkEnd w:id="6"/>
    </w:p>
    <w:p w14:paraId="2F5195C8" w14:textId="77777777" w:rsidR="00314CB1" w:rsidRPr="00904591" w:rsidRDefault="00314CB1" w:rsidP="00314CB1">
      <w:pPr>
        <w:pStyle w:val="David"/>
        <w:spacing w:before="0" w:line="360" w:lineRule="auto"/>
        <w:ind w:left="3544"/>
        <w:rPr>
          <w:sz w:val="4"/>
          <w:szCs w:val="4"/>
          <w:rtl/>
        </w:rPr>
      </w:pPr>
      <w:r>
        <w:t>______________________________________________</w:t>
      </w:r>
      <w:r w:rsidRPr="00E06736">
        <w:tab/>
      </w:r>
      <w:r w:rsidRPr="00E06736">
        <w:rPr>
          <w:rFonts w:hint="cs"/>
          <w:rtl/>
        </w:rPr>
        <w:tab/>
      </w:r>
      <w:r w:rsidRPr="00E06736">
        <w:rPr>
          <w:rFonts w:hint="cs"/>
          <w:rtl/>
        </w:rPr>
        <w:tab/>
      </w:r>
      <w:r w:rsidRPr="00E06736">
        <w:rPr>
          <w:rFonts w:hint="cs"/>
          <w:rtl/>
        </w:rPr>
        <w:tab/>
      </w:r>
      <w:r>
        <w:t xml:space="preserve">           </w:t>
      </w:r>
    </w:p>
    <w:p w14:paraId="67EBDA65" w14:textId="77777777" w:rsidR="00314CB1" w:rsidRPr="00E06736" w:rsidRDefault="00314CB1" w:rsidP="00314CB1">
      <w:pPr>
        <w:pStyle w:val="David"/>
        <w:spacing w:before="0" w:line="240" w:lineRule="auto"/>
        <w:ind w:left="3544"/>
        <w:rPr>
          <w:rtl/>
        </w:rPr>
      </w:pPr>
      <w:r>
        <w:t xml:space="preserve">                                             </w:t>
      </w:r>
      <w:bookmarkStart w:id="7" w:name="Private_Number"/>
      <w:r>
        <w:rPr>
          <w:rFonts w:hint="cs"/>
          <w:rtl/>
        </w:rPr>
        <w:t>פ/2383/20</w:t>
      </w:r>
      <w:bookmarkEnd w:id="7"/>
    </w:p>
    <w:p w14:paraId="5E264322" w14:textId="77777777" w:rsidR="00314CB1" w:rsidRDefault="00314CB1" w:rsidP="00314CB1">
      <w:pPr>
        <w:spacing w:before="0" w:line="360" w:lineRule="auto"/>
        <w:ind w:left="2880" w:firstLine="720"/>
        <w:rPr>
          <w:rFonts w:cs="David"/>
          <w:sz w:val="26"/>
          <w:szCs w:val="26"/>
          <w:rtl/>
        </w:rPr>
      </w:pPr>
    </w:p>
    <w:p w14:paraId="7CEA6583" w14:textId="77777777" w:rsidR="00314CB1" w:rsidRPr="00F67051" w:rsidRDefault="00314CB1" w:rsidP="00314CB1">
      <w:pPr>
        <w:pStyle w:val="HeadHatzaotHok"/>
        <w:rPr>
          <w:rtl/>
        </w:rPr>
      </w:pPr>
      <w:bookmarkStart w:id="8" w:name="LGS_Subject"/>
      <w:r>
        <w:rPr>
          <w:rFonts w:hint="cs"/>
          <w:rtl/>
        </w:rPr>
        <w:t xml:space="preserve">הצעת חוק אי נקיטת הליכים לפני מועדי ישראל (תיקוני חקיקה), </w:t>
      </w:r>
      <w:proofErr w:type="spellStart"/>
      <w:r>
        <w:rPr>
          <w:rFonts w:hint="cs"/>
          <w:rtl/>
        </w:rPr>
        <w:t>התשע"ו</w:t>
      </w:r>
      <w:proofErr w:type="spellEnd"/>
      <w:r>
        <w:rPr>
          <w:rFonts w:hint="cs"/>
          <w:rtl/>
        </w:rPr>
        <w:t>–2015</w:t>
      </w:r>
      <w:bookmarkEnd w:id="8"/>
    </w:p>
    <w:p w14:paraId="47453D96" w14:textId="77777777" w:rsidR="00314CB1" w:rsidRDefault="00314CB1" w:rsidP="00314CB1">
      <w:pPr>
        <w:pStyle w:val="HeadDivreiHesber"/>
        <w:spacing w:before="0" w:after="0"/>
        <w:rPr>
          <w:rtl/>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1872"/>
        <w:gridCol w:w="624"/>
        <w:gridCol w:w="4647"/>
      </w:tblGrid>
      <w:tr w:rsidR="00314CB1" w14:paraId="274E7E01" w14:textId="77777777" w:rsidTr="00167DC5">
        <w:trPr>
          <w:cantSplit/>
        </w:trPr>
        <w:tc>
          <w:tcPr>
            <w:tcW w:w="1871" w:type="dxa"/>
          </w:tcPr>
          <w:p w14:paraId="46588C04" w14:textId="77777777" w:rsidR="00314CB1" w:rsidRPr="002C6E2E" w:rsidRDefault="00314CB1" w:rsidP="00167DC5">
            <w:pPr>
              <w:pStyle w:val="TableSideHeading"/>
              <w:keepLines w:val="0"/>
            </w:pPr>
            <w:r>
              <w:rPr>
                <w:rFonts w:hint="cs"/>
                <w:rtl/>
              </w:rPr>
              <w:t xml:space="preserve">תיקון חוק ההוצאה לפועל </w:t>
            </w:r>
          </w:p>
        </w:tc>
        <w:tc>
          <w:tcPr>
            <w:tcW w:w="624" w:type="dxa"/>
          </w:tcPr>
          <w:p w14:paraId="4E005E34" w14:textId="77777777" w:rsidR="00314CB1" w:rsidRDefault="00314CB1" w:rsidP="00167DC5">
            <w:pPr>
              <w:pStyle w:val="TableText"/>
              <w:keepLines w:val="0"/>
            </w:pPr>
            <w:r>
              <w:rPr>
                <w:rFonts w:hint="cs"/>
                <w:rtl/>
              </w:rPr>
              <w:t>1.</w:t>
            </w:r>
          </w:p>
        </w:tc>
        <w:tc>
          <w:tcPr>
            <w:tcW w:w="7143" w:type="dxa"/>
            <w:gridSpan w:val="3"/>
          </w:tcPr>
          <w:p w14:paraId="7F2AC82E" w14:textId="77777777" w:rsidR="00314CB1" w:rsidRPr="00C34DE2" w:rsidRDefault="00314CB1" w:rsidP="00167DC5">
            <w:pPr>
              <w:pStyle w:val="TableBlock"/>
            </w:pPr>
            <w:r>
              <w:rPr>
                <w:rFonts w:hint="cs"/>
                <w:rtl/>
              </w:rPr>
              <w:t xml:space="preserve">בחוק ההוצאה לפועל, </w:t>
            </w:r>
            <w:proofErr w:type="spellStart"/>
            <w:r>
              <w:rPr>
                <w:rFonts w:hint="cs"/>
                <w:rtl/>
              </w:rPr>
              <w:t>התשכ"ז</w:t>
            </w:r>
            <w:proofErr w:type="spellEnd"/>
            <w:r>
              <w:rPr>
                <w:rtl/>
              </w:rPr>
              <w:t>–</w:t>
            </w:r>
            <w:r>
              <w:rPr>
                <w:rFonts w:hint="cs"/>
                <w:rtl/>
              </w:rPr>
              <w:t>1967</w:t>
            </w:r>
            <w:r>
              <w:rPr>
                <w:rStyle w:val="a5"/>
                <w:rtl/>
              </w:rPr>
              <w:footnoteReference w:id="2"/>
            </w:r>
            <w:r>
              <w:rPr>
                <w:rFonts w:hint="cs"/>
                <w:rtl/>
              </w:rPr>
              <w:t>, בסעיף 16, בסופו יבוא:</w:t>
            </w:r>
          </w:p>
        </w:tc>
      </w:tr>
      <w:tr w:rsidR="00314CB1" w14:paraId="2D60154F" w14:textId="77777777" w:rsidTr="00167DC5">
        <w:trPr>
          <w:cantSplit/>
        </w:trPr>
        <w:tc>
          <w:tcPr>
            <w:tcW w:w="1871" w:type="dxa"/>
          </w:tcPr>
          <w:p w14:paraId="0944B86B" w14:textId="77777777" w:rsidR="00314CB1" w:rsidRDefault="00314CB1" w:rsidP="00167DC5">
            <w:pPr>
              <w:pStyle w:val="TableSideHeading"/>
              <w:keepLines w:val="0"/>
              <w:rPr>
                <w:rtl/>
              </w:rPr>
            </w:pPr>
          </w:p>
        </w:tc>
        <w:tc>
          <w:tcPr>
            <w:tcW w:w="624" w:type="dxa"/>
          </w:tcPr>
          <w:p w14:paraId="2C63A25C" w14:textId="77777777" w:rsidR="00314CB1" w:rsidRDefault="00314CB1" w:rsidP="00167DC5">
            <w:pPr>
              <w:pStyle w:val="TableText"/>
              <w:rPr>
                <w:rtl/>
              </w:rPr>
            </w:pPr>
          </w:p>
        </w:tc>
        <w:tc>
          <w:tcPr>
            <w:tcW w:w="7143" w:type="dxa"/>
            <w:gridSpan w:val="3"/>
          </w:tcPr>
          <w:p w14:paraId="055873D3" w14:textId="2C261357" w:rsidR="00314CB1" w:rsidRDefault="00314CB1" w:rsidP="00167DC5">
            <w:pPr>
              <w:pStyle w:val="TableBlock"/>
              <w:rPr>
                <w:rtl/>
              </w:rPr>
            </w:pPr>
            <w:r>
              <w:rPr>
                <w:rFonts w:hint="cs"/>
                <w:rtl/>
              </w:rPr>
              <w:t>"(ג)</w:t>
            </w:r>
            <w:r>
              <w:rPr>
                <w:rtl/>
              </w:rPr>
              <w:tab/>
            </w:r>
            <w:r>
              <w:rPr>
                <w:rFonts w:hint="cs"/>
                <w:rtl/>
              </w:rPr>
              <w:t xml:space="preserve">לא ינקוט מנהל לשכת ההוצאה לפועל כל הליך, בשלושת הימים שלפני מועדי ישראל כהגדרתם בסעיף 18א לפקודת סדרי </w:t>
            </w:r>
            <w:r w:rsidR="0029503B">
              <w:rPr>
                <w:rFonts w:hint="cs"/>
                <w:rtl/>
              </w:rPr>
              <w:t>ה</w:t>
            </w:r>
            <w:r>
              <w:rPr>
                <w:rFonts w:hint="cs"/>
                <w:rtl/>
              </w:rPr>
              <w:t>שלטון ו</w:t>
            </w:r>
            <w:r w:rsidR="0029503B">
              <w:rPr>
                <w:rFonts w:hint="cs"/>
                <w:rtl/>
              </w:rPr>
              <w:t>ה</w:t>
            </w:r>
            <w:r>
              <w:rPr>
                <w:rFonts w:hint="cs"/>
                <w:rtl/>
              </w:rPr>
              <w:t>משפט</w:t>
            </w:r>
            <w:r w:rsidR="0029503B">
              <w:rPr>
                <w:rFonts w:hint="cs"/>
                <w:rtl/>
              </w:rPr>
              <w:t xml:space="preserve">, </w:t>
            </w:r>
            <w:proofErr w:type="spellStart"/>
            <w:r w:rsidR="0029503B">
              <w:rPr>
                <w:rFonts w:hint="cs"/>
                <w:rtl/>
              </w:rPr>
              <w:t>התש"ח</w:t>
            </w:r>
            <w:proofErr w:type="spellEnd"/>
            <w:r w:rsidR="0029503B">
              <w:rPr>
                <w:rtl/>
              </w:rPr>
              <w:t>–</w:t>
            </w:r>
            <w:r w:rsidR="0029503B">
              <w:rPr>
                <w:rFonts w:hint="cs"/>
                <w:rtl/>
              </w:rPr>
              <w:t>1948</w:t>
            </w:r>
            <w:r>
              <w:rPr>
                <w:rStyle w:val="a5"/>
                <w:rtl/>
              </w:rPr>
              <w:footnoteReference w:id="3"/>
            </w:r>
            <w:r>
              <w:rPr>
                <w:rFonts w:hint="cs"/>
                <w:rtl/>
              </w:rPr>
              <w:t>".</w:t>
            </w:r>
          </w:p>
        </w:tc>
      </w:tr>
      <w:tr w:rsidR="00314CB1" w14:paraId="507A31D2" w14:textId="77777777" w:rsidTr="00167DC5">
        <w:trPr>
          <w:cantSplit/>
        </w:trPr>
        <w:tc>
          <w:tcPr>
            <w:tcW w:w="1871" w:type="dxa"/>
          </w:tcPr>
          <w:p w14:paraId="5A1E3F41" w14:textId="1332E6B9" w:rsidR="00314CB1" w:rsidRDefault="00314CB1" w:rsidP="00167DC5">
            <w:pPr>
              <w:pStyle w:val="TableSideHeading"/>
              <w:keepLines w:val="0"/>
              <w:rPr>
                <w:rtl/>
              </w:rPr>
            </w:pPr>
            <w:r>
              <w:rPr>
                <w:rFonts w:hint="cs"/>
                <w:rtl/>
              </w:rPr>
              <w:t>תיקון פקודת המסים (גבי</w:t>
            </w:r>
            <w:r w:rsidR="0029503B">
              <w:rPr>
                <w:rFonts w:hint="cs"/>
                <w:rtl/>
              </w:rPr>
              <w:t>י</w:t>
            </w:r>
            <w:r>
              <w:rPr>
                <w:rFonts w:hint="cs"/>
                <w:rtl/>
              </w:rPr>
              <w:t>ה)</w:t>
            </w:r>
          </w:p>
        </w:tc>
        <w:tc>
          <w:tcPr>
            <w:tcW w:w="624" w:type="dxa"/>
          </w:tcPr>
          <w:p w14:paraId="556D8C5C" w14:textId="77777777" w:rsidR="00314CB1" w:rsidRDefault="00314CB1" w:rsidP="00167DC5">
            <w:pPr>
              <w:pStyle w:val="TableText"/>
              <w:rPr>
                <w:rtl/>
              </w:rPr>
            </w:pPr>
            <w:r>
              <w:rPr>
                <w:rFonts w:hint="cs"/>
                <w:rtl/>
              </w:rPr>
              <w:t>2.</w:t>
            </w:r>
          </w:p>
        </w:tc>
        <w:tc>
          <w:tcPr>
            <w:tcW w:w="7143" w:type="dxa"/>
            <w:gridSpan w:val="3"/>
          </w:tcPr>
          <w:p w14:paraId="66AE86E7" w14:textId="4BC0CCFE" w:rsidR="00314CB1" w:rsidRDefault="00314CB1" w:rsidP="00167DC5">
            <w:pPr>
              <w:pStyle w:val="TableBlock"/>
              <w:rPr>
                <w:rtl/>
              </w:rPr>
            </w:pPr>
            <w:r>
              <w:rPr>
                <w:rFonts w:hint="cs"/>
                <w:rtl/>
              </w:rPr>
              <w:t>בפקודת המסים (גבי</w:t>
            </w:r>
            <w:r w:rsidR="0029503B">
              <w:rPr>
                <w:rFonts w:hint="cs"/>
                <w:rtl/>
              </w:rPr>
              <w:t>י</w:t>
            </w:r>
            <w:r>
              <w:rPr>
                <w:rFonts w:hint="cs"/>
                <w:rtl/>
              </w:rPr>
              <w:t>ה)</w:t>
            </w:r>
            <w:r>
              <w:rPr>
                <w:rStyle w:val="a5"/>
                <w:rtl/>
              </w:rPr>
              <w:footnoteReference w:id="4"/>
            </w:r>
            <w:r>
              <w:rPr>
                <w:rFonts w:hint="cs"/>
                <w:rtl/>
              </w:rPr>
              <w:t>, אחרי סעיף 9 יבוא:</w:t>
            </w:r>
          </w:p>
        </w:tc>
      </w:tr>
      <w:tr w:rsidR="00314CB1" w14:paraId="6ADDD189" w14:textId="77777777" w:rsidTr="00167DC5">
        <w:trPr>
          <w:cantSplit/>
        </w:trPr>
        <w:tc>
          <w:tcPr>
            <w:tcW w:w="1871" w:type="dxa"/>
          </w:tcPr>
          <w:p w14:paraId="7AD62053" w14:textId="77777777" w:rsidR="00314CB1" w:rsidRDefault="00314CB1" w:rsidP="00167DC5">
            <w:pPr>
              <w:pStyle w:val="TableSideHeading"/>
              <w:keepLines w:val="0"/>
            </w:pPr>
          </w:p>
        </w:tc>
        <w:tc>
          <w:tcPr>
            <w:tcW w:w="624" w:type="dxa"/>
          </w:tcPr>
          <w:p w14:paraId="03A30498" w14:textId="77777777" w:rsidR="00314CB1" w:rsidRDefault="00314CB1" w:rsidP="00167DC5">
            <w:pPr>
              <w:pStyle w:val="TableText"/>
              <w:keepLines w:val="0"/>
            </w:pPr>
          </w:p>
        </w:tc>
        <w:tc>
          <w:tcPr>
            <w:tcW w:w="1872" w:type="dxa"/>
          </w:tcPr>
          <w:p w14:paraId="1FF3F930" w14:textId="510C0681" w:rsidR="00314CB1" w:rsidRDefault="0029503B" w:rsidP="00167DC5">
            <w:pPr>
              <w:pStyle w:val="TableInnerSideHeading"/>
            </w:pPr>
            <w:r>
              <w:rPr>
                <w:rFonts w:hint="cs"/>
                <w:rtl/>
              </w:rPr>
              <w:t>"</w:t>
            </w:r>
            <w:r w:rsidR="00314CB1">
              <w:rPr>
                <w:rFonts w:hint="cs"/>
                <w:rtl/>
              </w:rPr>
              <w:t>השהיית גביית המס לפני מועדי ישראל</w:t>
            </w:r>
          </w:p>
        </w:tc>
        <w:tc>
          <w:tcPr>
            <w:tcW w:w="624" w:type="dxa"/>
          </w:tcPr>
          <w:p w14:paraId="6DAB623A" w14:textId="77777777" w:rsidR="00314CB1" w:rsidRPr="00386382" w:rsidRDefault="00314CB1" w:rsidP="00167DC5">
            <w:pPr>
              <w:pStyle w:val="TableText"/>
            </w:pPr>
            <w:r>
              <w:rPr>
                <w:rFonts w:hint="cs"/>
                <w:rtl/>
              </w:rPr>
              <w:t>9א.</w:t>
            </w:r>
          </w:p>
        </w:tc>
        <w:tc>
          <w:tcPr>
            <w:tcW w:w="4647" w:type="dxa"/>
          </w:tcPr>
          <w:p w14:paraId="62E44953" w14:textId="70991A17" w:rsidR="00314CB1" w:rsidRDefault="00314CB1" w:rsidP="00167DC5">
            <w:pPr>
              <w:pStyle w:val="TableBlock"/>
            </w:pPr>
            <w:r>
              <w:rPr>
                <w:rFonts w:hint="cs"/>
                <w:rtl/>
              </w:rPr>
              <w:t>לא ינקוט פקיד גבי</w:t>
            </w:r>
            <w:r w:rsidR="0029503B">
              <w:rPr>
                <w:rFonts w:hint="cs"/>
                <w:rtl/>
              </w:rPr>
              <w:t>י</w:t>
            </w:r>
            <w:r>
              <w:rPr>
                <w:rFonts w:hint="cs"/>
                <w:rtl/>
              </w:rPr>
              <w:t xml:space="preserve">ה או גובה מס כל פעולה לגביית המס, בשלושת הימים שלפני מועדי ישראל כהגדרתם בסעיף 18א לפקודת סדרי </w:t>
            </w:r>
            <w:r w:rsidR="0029503B">
              <w:rPr>
                <w:rFonts w:hint="cs"/>
                <w:rtl/>
              </w:rPr>
              <w:t>ה</w:t>
            </w:r>
            <w:r>
              <w:rPr>
                <w:rFonts w:hint="cs"/>
                <w:rtl/>
              </w:rPr>
              <w:t>שלטון ומשפט</w:t>
            </w:r>
            <w:r w:rsidR="0029503B">
              <w:rPr>
                <w:rFonts w:hint="cs"/>
                <w:rtl/>
              </w:rPr>
              <w:t xml:space="preserve">, </w:t>
            </w:r>
            <w:proofErr w:type="spellStart"/>
            <w:r w:rsidR="0029503B">
              <w:rPr>
                <w:rFonts w:hint="cs"/>
                <w:rtl/>
              </w:rPr>
              <w:t>התש"ח</w:t>
            </w:r>
            <w:proofErr w:type="spellEnd"/>
            <w:r w:rsidR="0029503B">
              <w:rPr>
                <w:rtl/>
              </w:rPr>
              <w:t>–</w:t>
            </w:r>
            <w:r w:rsidR="0029503B">
              <w:rPr>
                <w:rFonts w:hint="cs"/>
                <w:rtl/>
              </w:rPr>
              <w:t>1948"</w:t>
            </w:r>
            <w:r>
              <w:rPr>
                <w:rStyle w:val="a5"/>
                <w:rtl/>
              </w:rPr>
              <w:footnoteReference w:id="5"/>
            </w:r>
            <w:r>
              <w:rPr>
                <w:rFonts w:hint="cs"/>
                <w:rtl/>
              </w:rPr>
              <w:t xml:space="preserve">. </w:t>
            </w:r>
          </w:p>
        </w:tc>
      </w:tr>
    </w:tbl>
    <w:p w14:paraId="584F2ACA" w14:textId="77777777" w:rsidR="00DA3680" w:rsidRDefault="00DA3680" w:rsidP="00314CB1">
      <w:pPr>
        <w:pStyle w:val="HeadDivreiHesber"/>
        <w:rPr>
          <w:rtl/>
        </w:rPr>
      </w:pPr>
      <w:r>
        <w:rPr>
          <w:rtl/>
        </w:rPr>
        <w:br w:type="page"/>
      </w:r>
    </w:p>
    <w:p w14:paraId="05C003C4" w14:textId="77777777" w:rsidR="00DA3680" w:rsidRDefault="00DA3680" w:rsidP="00314CB1">
      <w:pPr>
        <w:pStyle w:val="HeadDivreiHesber"/>
        <w:rPr>
          <w:rtl/>
        </w:rPr>
      </w:pPr>
    </w:p>
    <w:p w14:paraId="5ABC738C" w14:textId="77777777" w:rsidR="00314CB1" w:rsidRDefault="00314CB1" w:rsidP="00314CB1">
      <w:pPr>
        <w:pStyle w:val="HeadDivreiHesber"/>
        <w:rPr>
          <w:rtl/>
        </w:rPr>
      </w:pPr>
      <w:r w:rsidRPr="0027450A">
        <w:rPr>
          <w:rFonts w:hint="cs"/>
          <w:rtl/>
        </w:rPr>
        <w:t>דברי הסבר</w:t>
      </w:r>
    </w:p>
    <w:p w14:paraId="0AA9A897" w14:textId="782D7795" w:rsidR="00314CB1" w:rsidRPr="00F431B4" w:rsidRDefault="00314CB1" w:rsidP="0029503B">
      <w:pPr>
        <w:pStyle w:val="Hesber"/>
        <w:rPr>
          <w:rtl/>
        </w:rPr>
      </w:pPr>
      <w:r w:rsidRPr="00F431B4">
        <w:rPr>
          <w:rFonts w:hint="cs"/>
          <w:rtl/>
        </w:rPr>
        <w:t xml:space="preserve">מטרת הסנקציות נגד חייבים אינה לחנך את הציבור למוסר תשלומים. מי שיש לו לשלם משלם. רוב החייבים אין </w:t>
      </w:r>
      <w:r w:rsidR="0029503B">
        <w:rPr>
          <w:rFonts w:hint="cs"/>
          <w:rtl/>
        </w:rPr>
        <w:t>ביכולתם</w:t>
      </w:r>
      <w:r w:rsidRPr="00F431B4">
        <w:rPr>
          <w:rFonts w:hint="cs"/>
          <w:rtl/>
        </w:rPr>
        <w:t xml:space="preserve"> לשלם ו</w:t>
      </w:r>
      <w:r w:rsidR="0029503B">
        <w:rPr>
          <w:rFonts w:hint="cs"/>
          <w:rtl/>
        </w:rPr>
        <w:t xml:space="preserve">הם </w:t>
      </w:r>
      <w:r w:rsidRPr="00F431B4">
        <w:rPr>
          <w:rFonts w:hint="cs"/>
          <w:rtl/>
        </w:rPr>
        <w:t>מסתבכים. לכן מטרת ההוצאה לפועל ומערכת גביית המס היא לכפות על החייב הליכים, במטרה ל</w:t>
      </w:r>
      <w:r w:rsidR="0029503B">
        <w:rPr>
          <w:rFonts w:hint="cs"/>
          <w:rtl/>
        </w:rPr>
        <w:t>גבות</w:t>
      </w:r>
      <w:r w:rsidRPr="00F431B4">
        <w:rPr>
          <w:rFonts w:hint="cs"/>
          <w:rtl/>
        </w:rPr>
        <w:t xml:space="preserve"> ממנו את כספי הזכאי.</w:t>
      </w:r>
    </w:p>
    <w:p w14:paraId="29B55D75" w14:textId="2C30B14C" w:rsidR="00314CB1" w:rsidRPr="00F431B4" w:rsidRDefault="00314CB1" w:rsidP="00314CB1">
      <w:pPr>
        <w:pStyle w:val="Hesber"/>
        <w:rPr>
          <w:rtl/>
        </w:rPr>
      </w:pPr>
      <w:r w:rsidRPr="00F431B4">
        <w:rPr>
          <w:rFonts w:hint="cs"/>
          <w:rtl/>
        </w:rPr>
        <w:t>אבל כאשר עושים זאת בערבי חגים ומועדים, הפגיע</w:t>
      </w:r>
      <w:r w:rsidR="0029503B">
        <w:rPr>
          <w:rFonts w:hint="cs"/>
          <w:rtl/>
        </w:rPr>
        <w:t xml:space="preserve">ה היא בלתי מידתית, מאחר שאם </w:t>
      </w:r>
      <w:r w:rsidRPr="00F431B4">
        <w:rPr>
          <w:rFonts w:hint="cs"/>
          <w:rtl/>
        </w:rPr>
        <w:t>החייב לא יספיק לגייס את סכום החוב ולהסדיר את חובו טרם החג, ייאלץ להמתין עד לאחר החג וכל אותם ימים יתמודד עם הגבלות שהוטלו עליו בשל החוב, לדוגמא עם חשבון מעוקל.</w:t>
      </w:r>
    </w:p>
    <w:p w14:paraId="2DCF189D" w14:textId="77777777" w:rsidR="00314CB1" w:rsidRDefault="00314CB1" w:rsidP="00314CB1">
      <w:pPr>
        <w:pStyle w:val="Hesber"/>
        <w:rPr>
          <w:rtl/>
        </w:rPr>
      </w:pPr>
      <w:r w:rsidRPr="00F431B4">
        <w:rPr>
          <w:rFonts w:hint="cs"/>
          <w:rtl/>
        </w:rPr>
        <w:t>לכן, מוצע להשהות את הליכי הוצאה לפועל ואת הפעולות לגביית המס בשלושת הימים שלפני מועדי ישראל.</w:t>
      </w:r>
    </w:p>
    <w:p w14:paraId="12BEBD12" w14:textId="52727337" w:rsidR="00DA3680" w:rsidRDefault="00DA3680" w:rsidP="00314CB1">
      <w:pPr>
        <w:pStyle w:val="Hesber"/>
        <w:rPr>
          <w:rtl/>
        </w:rPr>
      </w:pPr>
    </w:p>
    <w:p w14:paraId="34C05B11" w14:textId="77777777" w:rsidR="00DA3680" w:rsidRDefault="00DA3680" w:rsidP="00314CB1">
      <w:pPr>
        <w:pStyle w:val="Hesber"/>
        <w:rPr>
          <w:rtl/>
        </w:rPr>
      </w:pPr>
    </w:p>
    <w:p w14:paraId="6046421B" w14:textId="77777777" w:rsidR="00DA3680" w:rsidRPr="00F431B4" w:rsidRDefault="00DA3680" w:rsidP="00314CB1">
      <w:pPr>
        <w:pStyle w:val="Hesber"/>
        <w:rPr>
          <w:rtl/>
        </w:rPr>
      </w:pPr>
    </w:p>
    <w:p w14:paraId="05E49C0C" w14:textId="77777777" w:rsidR="00767BA3" w:rsidRDefault="00767BA3" w:rsidP="00B3673A">
      <w:pPr>
        <w:pStyle w:val="Hesber"/>
        <w:rPr>
          <w:color w:val="auto"/>
          <w:lang w:eastAsia="en-US"/>
        </w:rPr>
      </w:pPr>
      <w:r>
        <w:rPr>
          <w:rFonts w:hint="cs"/>
          <w:color w:val="auto"/>
          <w:rtl/>
          <w:lang w:eastAsia="en-US"/>
        </w:rPr>
        <w:t>---------------------------------</w:t>
      </w:r>
    </w:p>
    <w:p w14:paraId="2E431C8E" w14:textId="77777777" w:rsidR="00767BA3" w:rsidRDefault="00767BA3" w:rsidP="00B3673A">
      <w:pPr>
        <w:pStyle w:val="Hesber"/>
        <w:rPr>
          <w:color w:val="auto"/>
          <w:rtl/>
          <w:lang w:eastAsia="en-US"/>
        </w:rPr>
      </w:pPr>
      <w:r>
        <w:rPr>
          <w:rFonts w:hint="cs"/>
          <w:color w:val="auto"/>
          <w:rtl/>
          <w:lang w:eastAsia="en-US"/>
        </w:rPr>
        <w:t>הוגשה ליו"ר הכנסת והסגנים</w:t>
      </w:r>
    </w:p>
    <w:p w14:paraId="5FAB33CA" w14:textId="77777777" w:rsidR="00767BA3" w:rsidRDefault="00767BA3" w:rsidP="00B3673A">
      <w:pPr>
        <w:pStyle w:val="Hesber"/>
        <w:rPr>
          <w:color w:val="auto"/>
          <w:rtl/>
          <w:lang w:eastAsia="en-US"/>
        </w:rPr>
      </w:pPr>
      <w:r>
        <w:rPr>
          <w:rFonts w:hint="cs"/>
          <w:color w:val="auto"/>
          <w:rtl/>
          <w:lang w:eastAsia="en-US"/>
        </w:rPr>
        <w:t>והונחה על שולחן הכנסת ביום</w:t>
      </w:r>
    </w:p>
    <w:p w14:paraId="45EEB086" w14:textId="77777777" w:rsidR="00767BA3" w:rsidRDefault="00767BA3" w:rsidP="00B3673A">
      <w:pPr>
        <w:pStyle w:val="Hesber"/>
        <w:rPr>
          <w:rtl/>
        </w:rPr>
      </w:pPr>
      <w:r>
        <w:rPr>
          <w:rFonts w:hint="cs"/>
          <w:color w:val="auto"/>
          <w:rtl/>
          <w:lang w:eastAsia="en-US"/>
        </w:rPr>
        <w:t xml:space="preserve">ט' בטבת </w:t>
      </w:r>
      <w:proofErr w:type="spellStart"/>
      <w:r>
        <w:rPr>
          <w:rFonts w:hint="cs"/>
          <w:color w:val="auto"/>
          <w:rtl/>
          <w:lang w:eastAsia="en-US"/>
        </w:rPr>
        <w:t>התשע"ו</w:t>
      </w:r>
      <w:proofErr w:type="spellEnd"/>
      <w:r>
        <w:rPr>
          <w:rFonts w:hint="cs"/>
          <w:color w:val="auto"/>
          <w:rtl/>
          <w:lang w:eastAsia="en-US"/>
        </w:rPr>
        <w:t xml:space="preserve"> – 21.12.15</w:t>
      </w:r>
    </w:p>
    <w:p w14:paraId="5E31F074" w14:textId="6E56F4C7" w:rsidR="003C79A7" w:rsidRPr="00314CB1" w:rsidRDefault="003C79A7" w:rsidP="00767BA3">
      <w:pPr>
        <w:rPr>
          <w:rtl/>
        </w:rPr>
      </w:pPr>
    </w:p>
    <w:sectPr w:rsidR="003C79A7" w:rsidRPr="00314CB1" w:rsidSect="001207F8">
      <w:footerReference w:type="even" r:id="rId12"/>
      <w:footerReference w:type="default" r:id="rId13"/>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5F092" w14:textId="77777777" w:rsidR="00EC7862" w:rsidRDefault="00EC7862">
      <w:r>
        <w:separator/>
      </w:r>
    </w:p>
  </w:endnote>
  <w:endnote w:type="continuationSeparator" w:id="0">
    <w:p w14:paraId="4B14E7A9" w14:textId="77777777" w:rsidR="00EC7862" w:rsidRDefault="00EC7862">
      <w:r>
        <w:continuationSeparator/>
      </w:r>
    </w:p>
  </w:endnote>
  <w:endnote w:type="continuationNotice" w:id="1">
    <w:p w14:paraId="5CDBAFE0" w14:textId="77777777" w:rsidR="00EC7862" w:rsidRDefault="00EC786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61D5"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2C3041" w:rsidRDefault="002C30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61D7"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DA653E">
      <w:rPr>
        <w:rStyle w:val="aa"/>
        <w:noProof/>
        <w:rtl/>
      </w:rPr>
      <w:t>2</w:t>
    </w:r>
    <w:r>
      <w:rPr>
        <w:rStyle w:val="aa"/>
        <w:rtl/>
      </w:rPr>
      <w:fldChar w:fldCharType="end"/>
    </w:r>
  </w:p>
  <w:p w14:paraId="7F6961D8" w14:textId="77777777" w:rsidR="002C3041" w:rsidRDefault="002C30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41BC9" w14:textId="77777777" w:rsidR="00EC7862" w:rsidRDefault="00EC7862">
      <w:r>
        <w:separator/>
      </w:r>
    </w:p>
  </w:footnote>
  <w:footnote w:type="continuationSeparator" w:id="0">
    <w:p w14:paraId="6B96FCAF" w14:textId="77777777" w:rsidR="00EC7862" w:rsidRDefault="00EC7862">
      <w:r>
        <w:continuationSeparator/>
      </w:r>
    </w:p>
  </w:footnote>
  <w:footnote w:type="continuationNotice" w:id="1">
    <w:p w14:paraId="3C61E41D" w14:textId="77777777" w:rsidR="00EC7862" w:rsidRDefault="00EC7862"/>
  </w:footnote>
  <w:footnote w:id="2">
    <w:p w14:paraId="7CF000F8" w14:textId="77777777" w:rsidR="00314CB1" w:rsidRDefault="00314CB1" w:rsidP="00314CB1">
      <w:pPr>
        <w:pStyle w:val="a4"/>
        <w:rPr>
          <w:rtl/>
        </w:rPr>
      </w:pPr>
      <w:r>
        <w:rPr>
          <w:rStyle w:val="a5"/>
        </w:rPr>
        <w:footnoteRef/>
      </w:r>
      <w:r>
        <w:rPr>
          <w:rtl/>
        </w:rPr>
        <w:t xml:space="preserve"> </w:t>
      </w:r>
      <w:r>
        <w:rPr>
          <w:rFonts w:hint="cs"/>
          <w:rtl/>
        </w:rPr>
        <w:t xml:space="preserve">ס"ח </w:t>
      </w:r>
      <w:proofErr w:type="spellStart"/>
      <w:r>
        <w:rPr>
          <w:rFonts w:hint="cs"/>
          <w:rtl/>
        </w:rPr>
        <w:t>התשכ"ז</w:t>
      </w:r>
      <w:proofErr w:type="spellEnd"/>
      <w:r>
        <w:rPr>
          <w:rFonts w:hint="cs"/>
          <w:rtl/>
        </w:rPr>
        <w:t>, עמ' 116.</w:t>
      </w:r>
    </w:p>
  </w:footnote>
  <w:footnote w:id="3">
    <w:p w14:paraId="1E62244E" w14:textId="34BF421D" w:rsidR="00314CB1" w:rsidRDefault="00314CB1" w:rsidP="00314CB1">
      <w:pPr>
        <w:pStyle w:val="a4"/>
      </w:pPr>
      <w:r>
        <w:rPr>
          <w:rStyle w:val="a5"/>
        </w:rPr>
        <w:footnoteRef/>
      </w:r>
      <w:r>
        <w:rPr>
          <w:rtl/>
        </w:rPr>
        <w:t xml:space="preserve"> </w:t>
      </w:r>
      <w:proofErr w:type="spellStart"/>
      <w:r w:rsidR="00642BE1">
        <w:rPr>
          <w:rFonts w:hint="cs"/>
          <w:rtl/>
        </w:rPr>
        <w:t>ע"ר</w:t>
      </w:r>
      <w:proofErr w:type="spellEnd"/>
      <w:r w:rsidR="00642BE1">
        <w:rPr>
          <w:rFonts w:hint="cs"/>
          <w:rtl/>
        </w:rPr>
        <w:t xml:space="preserve"> </w:t>
      </w:r>
      <w:proofErr w:type="spellStart"/>
      <w:r w:rsidR="00642BE1">
        <w:rPr>
          <w:rFonts w:hint="cs"/>
          <w:rtl/>
        </w:rPr>
        <w:t>התש"ח</w:t>
      </w:r>
      <w:proofErr w:type="spellEnd"/>
      <w:r>
        <w:rPr>
          <w:rFonts w:hint="cs"/>
          <w:rtl/>
        </w:rPr>
        <w:t xml:space="preserve">, </w:t>
      </w:r>
      <w:proofErr w:type="spellStart"/>
      <w:r>
        <w:rPr>
          <w:rFonts w:hint="cs"/>
          <w:rtl/>
        </w:rPr>
        <w:t>תוס</w:t>
      </w:r>
      <w:proofErr w:type="spellEnd"/>
      <w:r>
        <w:rPr>
          <w:rFonts w:hint="cs"/>
          <w:rtl/>
        </w:rPr>
        <w:t>' א', עמ' 1.</w:t>
      </w:r>
    </w:p>
  </w:footnote>
  <w:footnote w:id="4">
    <w:p w14:paraId="361781B4" w14:textId="77777777" w:rsidR="00314CB1" w:rsidRDefault="00314CB1" w:rsidP="00314CB1">
      <w:pPr>
        <w:pStyle w:val="a4"/>
        <w:rPr>
          <w:rtl/>
        </w:rPr>
      </w:pPr>
      <w:r>
        <w:rPr>
          <w:rStyle w:val="a5"/>
        </w:rPr>
        <w:footnoteRef/>
      </w:r>
      <w:r>
        <w:rPr>
          <w:rtl/>
        </w:rPr>
        <w:t xml:space="preserve"> </w:t>
      </w:r>
      <w:r>
        <w:rPr>
          <w:rFonts w:hint="cs"/>
          <w:rtl/>
        </w:rPr>
        <w:t xml:space="preserve">חוקי א"י כרך ב', עמ' (ע) 1374, (א) 389. </w:t>
      </w:r>
    </w:p>
  </w:footnote>
  <w:footnote w:id="5">
    <w:p w14:paraId="3ED7A72A" w14:textId="2D216BDD" w:rsidR="00314CB1" w:rsidRDefault="00314CB1" w:rsidP="00314CB1">
      <w:pPr>
        <w:pStyle w:val="a4"/>
        <w:rPr>
          <w:rtl/>
        </w:rPr>
      </w:pPr>
      <w:r>
        <w:rPr>
          <w:rStyle w:val="a5"/>
        </w:rPr>
        <w:footnoteRef/>
      </w:r>
      <w:r>
        <w:rPr>
          <w:rtl/>
        </w:rPr>
        <w:t xml:space="preserve"> </w:t>
      </w:r>
      <w:proofErr w:type="spellStart"/>
      <w:r w:rsidR="00642BE1">
        <w:rPr>
          <w:rtl/>
        </w:rPr>
        <w:t>ע"ר</w:t>
      </w:r>
      <w:proofErr w:type="spellEnd"/>
      <w:r w:rsidR="00642BE1">
        <w:rPr>
          <w:rtl/>
        </w:rPr>
        <w:t xml:space="preserve"> </w:t>
      </w:r>
      <w:proofErr w:type="spellStart"/>
      <w:r w:rsidR="00642BE1">
        <w:rPr>
          <w:rFonts w:hint="cs"/>
          <w:rtl/>
        </w:rPr>
        <w:t>התש"ח</w:t>
      </w:r>
      <w:proofErr w:type="spellEnd"/>
      <w:r w:rsidRPr="00B44976">
        <w:rPr>
          <w:rtl/>
        </w:rPr>
        <w:t xml:space="preserve">, </w:t>
      </w:r>
      <w:proofErr w:type="spellStart"/>
      <w:r w:rsidRPr="00B44976">
        <w:rPr>
          <w:rtl/>
        </w:rPr>
        <w:t>תוס</w:t>
      </w:r>
      <w:proofErr w:type="spellEnd"/>
      <w:r w:rsidRPr="00B44976">
        <w:rPr>
          <w:rtl/>
        </w:rPr>
        <w:t>' א', עמ'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FFFFFF7D"/>
    <w:multiLevelType w:val="singleLevel"/>
    <w:tmpl w:val="7D5CAEA8"/>
    <w:lvl w:ilvl="0">
      <w:start w:val="1"/>
      <w:numFmt w:val="decimal"/>
      <w:lvlText w:val="%1."/>
      <w:lvlJc w:val="left"/>
      <w:pPr>
        <w:tabs>
          <w:tab w:val="num" w:pos="1209"/>
        </w:tabs>
        <w:ind w:left="1209" w:hanging="360"/>
      </w:pPr>
    </w:lvl>
  </w:abstractNum>
  <w:abstractNum w:abstractNumId="2">
    <w:nsid w:val="FFFFFF7E"/>
    <w:multiLevelType w:val="singleLevel"/>
    <w:tmpl w:val="67E88A74"/>
    <w:lvl w:ilvl="0">
      <w:start w:val="1"/>
      <w:numFmt w:val="decimal"/>
      <w:lvlText w:val="%1."/>
      <w:lvlJc w:val="left"/>
      <w:pPr>
        <w:tabs>
          <w:tab w:val="num" w:pos="926"/>
        </w:tabs>
        <w:ind w:left="926" w:hanging="360"/>
      </w:pPr>
    </w:lvl>
  </w:abstractNum>
  <w:abstractNum w:abstractNumId="3">
    <w:nsid w:val="FFFFFF7F"/>
    <w:multiLevelType w:val="singleLevel"/>
    <w:tmpl w:val="45DA1EB8"/>
    <w:lvl w:ilvl="0">
      <w:start w:val="1"/>
      <w:numFmt w:val="decimal"/>
      <w:lvlText w:val="%1."/>
      <w:lvlJc w:val="left"/>
      <w:pPr>
        <w:tabs>
          <w:tab w:val="num" w:pos="643"/>
        </w:tabs>
        <w:ind w:left="643" w:hanging="360"/>
      </w:p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9503B"/>
    <w:rsid w:val="002A487D"/>
    <w:rsid w:val="002C2E29"/>
    <w:rsid w:val="002C3041"/>
    <w:rsid w:val="002C6E2E"/>
    <w:rsid w:val="002D1EE3"/>
    <w:rsid w:val="002F1D80"/>
    <w:rsid w:val="00314CB1"/>
    <w:rsid w:val="003232A2"/>
    <w:rsid w:val="00325C14"/>
    <w:rsid w:val="0036422C"/>
    <w:rsid w:val="003710F6"/>
    <w:rsid w:val="00386E88"/>
    <w:rsid w:val="00396585"/>
    <w:rsid w:val="003C79A7"/>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D51AE"/>
    <w:rsid w:val="0062674B"/>
    <w:rsid w:val="006363B2"/>
    <w:rsid w:val="00642BE1"/>
    <w:rsid w:val="00644940"/>
    <w:rsid w:val="006818A9"/>
    <w:rsid w:val="006A2D81"/>
    <w:rsid w:val="006C1D0D"/>
    <w:rsid w:val="0070601E"/>
    <w:rsid w:val="00712C72"/>
    <w:rsid w:val="00735FE9"/>
    <w:rsid w:val="00763CAA"/>
    <w:rsid w:val="00765F66"/>
    <w:rsid w:val="00767BA3"/>
    <w:rsid w:val="0078664F"/>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3954"/>
    <w:rsid w:val="00957589"/>
    <w:rsid w:val="00966D06"/>
    <w:rsid w:val="00982412"/>
    <w:rsid w:val="00983A8D"/>
    <w:rsid w:val="009A0DB8"/>
    <w:rsid w:val="009A7257"/>
    <w:rsid w:val="009D6E0A"/>
    <w:rsid w:val="009E1E33"/>
    <w:rsid w:val="00A14672"/>
    <w:rsid w:val="00A16765"/>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F1AA2"/>
    <w:rsid w:val="00D17774"/>
    <w:rsid w:val="00D63620"/>
    <w:rsid w:val="00D8410D"/>
    <w:rsid w:val="00D867D7"/>
    <w:rsid w:val="00DA3680"/>
    <w:rsid w:val="00DA653E"/>
    <w:rsid w:val="00DB7060"/>
    <w:rsid w:val="00DE3153"/>
    <w:rsid w:val="00E06736"/>
    <w:rsid w:val="00E117E2"/>
    <w:rsid w:val="00E13C27"/>
    <w:rsid w:val="00E33BBD"/>
    <w:rsid w:val="00E374F2"/>
    <w:rsid w:val="00E45103"/>
    <w:rsid w:val="00E55A60"/>
    <w:rsid w:val="00E62778"/>
    <w:rsid w:val="00E63D38"/>
    <w:rsid w:val="00E665B9"/>
    <w:rsid w:val="00EA01E6"/>
    <w:rsid w:val="00EA3DE8"/>
    <w:rsid w:val="00EA758F"/>
    <w:rsid w:val="00EC7862"/>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aliases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6">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7">
    <w:name w:val="header"/>
    <w:basedOn w:val="a"/>
    <w:rsid w:val="00B975AD"/>
    <w:pPr>
      <w:tabs>
        <w:tab w:val="center" w:pos="4153"/>
        <w:tab w:val="right" w:pos="8306"/>
      </w:tabs>
    </w:pPr>
  </w:style>
  <w:style w:type="paragraph" w:styleId="a8">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9">
    <w:name w:val="Title"/>
    <w:basedOn w:val="a"/>
    <w:qFormat/>
    <w:rsid w:val="00943386"/>
    <w:pPr>
      <w:jc w:val="center"/>
    </w:pPr>
    <w:rPr>
      <w:rFonts w:cs="David"/>
      <w:b/>
      <w:bCs/>
      <w:sz w:val="28"/>
      <w:szCs w:val="28"/>
      <w:u w:val="single"/>
    </w:rPr>
  </w:style>
  <w:style w:type="character" w:styleId="aa">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b">
    <w:name w:val="Balloon Text"/>
    <w:basedOn w:val="a"/>
    <w:link w:val="ac"/>
    <w:semiHidden/>
    <w:unhideWhenUsed/>
    <w:rsid w:val="00325C14"/>
    <w:pPr>
      <w:spacing w:before="0"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aliases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6">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7">
    <w:name w:val="header"/>
    <w:basedOn w:val="a"/>
    <w:rsid w:val="00B975AD"/>
    <w:pPr>
      <w:tabs>
        <w:tab w:val="center" w:pos="4153"/>
        <w:tab w:val="right" w:pos="8306"/>
      </w:tabs>
    </w:pPr>
  </w:style>
  <w:style w:type="paragraph" w:styleId="a8">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9">
    <w:name w:val="Title"/>
    <w:basedOn w:val="a"/>
    <w:qFormat/>
    <w:rsid w:val="00943386"/>
    <w:pPr>
      <w:jc w:val="center"/>
    </w:pPr>
    <w:rPr>
      <w:rFonts w:cs="David"/>
      <w:b/>
      <w:bCs/>
      <w:sz w:val="28"/>
      <w:szCs w:val="28"/>
      <w:u w:val="single"/>
    </w:rPr>
  </w:style>
  <w:style w:type="character" w:styleId="aa">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b">
    <w:name w:val="Balloon Text"/>
    <w:basedOn w:val="a"/>
    <w:link w:val="ac"/>
    <w:semiHidden/>
    <w:unhideWhenUsed/>
    <w:rsid w:val="00325C14"/>
    <w:pPr>
      <w:spacing w:before="0"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31E205BBB08441AEFFEBF8ABB23DF1" ma:contentTypeVersion="0" ma:contentTypeDescription="Create a new document." ma:contentTypeScope="" ma:versionID="5e16b795bfa190b891513a8f9da454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D3825-1045-4004-9A73-3060C708B19D}"/>
</file>

<file path=customXml/itemProps2.xml><?xml version="1.0" encoding="utf-8"?>
<ds:datastoreItem xmlns:ds="http://schemas.openxmlformats.org/officeDocument/2006/customXml" ds:itemID="{53CDC32B-DD97-493E-9196-3EF77D6F9C7D}"/>
</file>

<file path=customXml/itemProps3.xml><?xml version="1.0" encoding="utf-8"?>
<ds:datastoreItem xmlns:ds="http://schemas.openxmlformats.org/officeDocument/2006/customXml" ds:itemID="{88F4AFE3-9455-419C-8851-785A55F44517}"/>
</file>

<file path=customXml/itemProps4.xml><?xml version="1.0" encoding="utf-8"?>
<ds:datastoreItem xmlns:ds="http://schemas.openxmlformats.org/officeDocument/2006/customXml" ds:itemID="{276F8B91-FA98-43D2-A2D1-B353A92F92BD}"/>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1270</Characters>
  <Application>Microsoft Office Word</Application>
  <DocSecurity>0</DocSecurity>
  <Lines>10</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מעיין בן עמי</cp:lastModifiedBy>
  <cp:revision>2</cp:revision>
  <cp:lastPrinted>2015-12-17T09:48:00Z</cp:lastPrinted>
  <dcterms:created xsi:type="dcterms:W3CDTF">2016-06-29T10:14:00Z</dcterms:created>
  <dcterms:modified xsi:type="dcterms:W3CDTF">2016-06-29T10:14:00Z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0x010100F931E205BBB08441AEFFEBF8ABB23DF1</vt:lpwstr>
  </property>
  <property fmtid="{D5CDD505-2E9C-101B-9397-08002B2CF9AE}" pid="3" name="_dlc_DocIdItemGuid">
    <vt:lpwstr>8badafff-95aa-4718-b074-a2d35988ffa8</vt:lpwstr>
  </property>
  <property fmtid="{D5CDD505-2E9C-101B-9397-08002B2CF9AE}" pid="4" name="SanhedrinDocumentType">
    <vt:r8>88</vt:r8>
  </property>
  <property fmtid="{D5CDD505-2E9C-101B-9397-08002B2CF9AE}" pid="5" name="SanhedrinItemID">
    <vt:r8>2004819</vt:r8>
  </property>
</Properties>
</file>