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bookmarkStart w:id="0" w:name="_GoBack"/>
      <w:bookmarkEnd w:id="0"/>
      <w:r w:rsidRPr="0000131B">
        <w:rPr>
          <w:rFonts w:hint="cs"/>
          <w:b w:val="0"/>
          <w:bCs w:val="0"/>
          <w:szCs w:val="20"/>
          <w:rtl/>
        </w:rPr>
        <w:t xml:space="preserve">מספר פנימי: </w:t>
      </w:r>
      <w:bookmarkStart w:id="1" w:name="LGS_Internal_ID"/>
      <w:r>
        <w:rPr>
          <w:rFonts w:hint="cs"/>
          <w:b w:val="0"/>
          <w:bCs w:val="0"/>
          <w:szCs w:val="20"/>
          <w:rtl/>
        </w:rPr>
        <w:t>573787</w:t>
      </w:r>
      <w:bookmarkEnd w:id="1"/>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2" w:name="LGS_Knesset_Num"/>
      <w:r>
        <w:rPr>
          <w:rFonts w:hint="cs"/>
          <w:sz w:val="28"/>
          <w:szCs w:val="28"/>
          <w:rtl/>
        </w:rPr>
        <w:t>העשרים</w:t>
      </w:r>
      <w:bookmarkEnd w:id="2"/>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3" w:name="LGS_Initiators_List"/>
      <w:r>
        <w:rPr>
          <w:b/>
          <w:bCs/>
          <w:rtl/>
        </w:rPr>
        <w:t>יוזמים:      חברי הכנסת</w:t>
      </w:r>
      <w:bookmarkEnd w:id="3"/>
      <w:r w:rsidR="00B35784" w:rsidRPr="00F67051">
        <w:rPr>
          <w:b/>
          <w:bCs/>
        </w:rPr>
        <w:tab/>
      </w:r>
      <w:bookmarkStart w:id="4" w:name="LGS_PM_Names"/>
      <w:r>
        <w:rPr>
          <w:rFonts w:hint="cs"/>
          <w:b/>
          <w:bCs/>
          <w:rtl/>
        </w:rPr>
        <w:t>מירב בן ארי</w:t>
      </w:r>
      <w:r>
        <w:br/>
      </w:r>
      <w:r>
        <w:rPr>
          <w:rFonts w:hint="cs"/>
          <w:b/>
          <w:bCs/>
          <w:rtl/>
        </w:rPr>
        <w:t xml:space="preserve"> </w:t>
      </w:r>
      <w:r>
        <w:tab/>
      </w:r>
      <w:r>
        <w:tab/>
      </w:r>
      <w:r>
        <w:tab/>
      </w:r>
      <w:r>
        <w:tab/>
      </w:r>
      <w:r>
        <w:rPr>
          <w:rFonts w:hint="cs"/>
          <w:b/>
          <w:bCs/>
          <w:rtl/>
        </w:rPr>
        <w:t>אלי אלאלוף</w:t>
      </w:r>
      <w:r>
        <w:br/>
      </w:r>
      <w:r>
        <w:rPr>
          <w:rFonts w:hint="cs"/>
          <w:b/>
          <w:bCs/>
          <w:rtl/>
        </w:rPr>
        <w:t xml:space="preserve"> </w:t>
      </w:r>
      <w:r>
        <w:tab/>
      </w:r>
      <w:r>
        <w:tab/>
      </w:r>
      <w:r>
        <w:tab/>
      </w:r>
      <w:r>
        <w:tab/>
      </w:r>
      <w:r>
        <w:rPr>
          <w:rFonts w:hint="cs"/>
          <w:b/>
          <w:bCs/>
          <w:rtl/>
        </w:rPr>
        <w:t>יעקב מרגי</w:t>
      </w:r>
      <w:r>
        <w:br/>
      </w:r>
      <w:r>
        <w:rPr>
          <w:rFonts w:hint="cs"/>
          <w:b/>
          <w:bCs/>
          <w:rtl/>
        </w:rPr>
        <w:t xml:space="preserve"> </w:t>
      </w:r>
      <w:r>
        <w:tab/>
      </w:r>
      <w:r>
        <w:tab/>
      </w:r>
      <w:r>
        <w:tab/>
      </w:r>
      <w:r>
        <w:tab/>
      </w:r>
      <w:r>
        <w:rPr>
          <w:rFonts w:hint="cs"/>
          <w:b/>
          <w:bCs/>
          <w:rtl/>
        </w:rPr>
        <w:t>נורית קורן</w:t>
      </w:r>
      <w:r>
        <w:br/>
      </w:r>
      <w:r>
        <w:rPr>
          <w:rFonts w:hint="cs"/>
          <w:b/>
          <w:bCs/>
          <w:rtl/>
        </w:rPr>
        <w:t xml:space="preserve"> </w:t>
      </w:r>
      <w:r>
        <w:tab/>
      </w:r>
      <w:r>
        <w:tab/>
      </w:r>
      <w:r>
        <w:tab/>
      </w:r>
      <w:r>
        <w:tab/>
      </w:r>
      <w:r>
        <w:rPr>
          <w:rFonts w:hint="cs"/>
          <w:b/>
          <w:bCs/>
          <w:rtl/>
        </w:rPr>
        <w:t>אלי כהן</w:t>
      </w:r>
      <w:r>
        <w:br/>
      </w:r>
      <w:r>
        <w:rPr>
          <w:rFonts w:hint="cs"/>
          <w:b/>
          <w:bCs/>
          <w:rtl/>
        </w:rPr>
        <w:t xml:space="preserve"> </w:t>
      </w:r>
      <w:r>
        <w:tab/>
      </w:r>
      <w:r>
        <w:tab/>
      </w:r>
      <w:r>
        <w:tab/>
      </w:r>
      <w:r>
        <w:tab/>
      </w:r>
      <w:r>
        <w:rPr>
          <w:rFonts w:hint="cs"/>
          <w:b/>
          <w:bCs/>
          <w:rtl/>
        </w:rPr>
        <w:t>רועי פולקמן</w:t>
      </w:r>
      <w:r>
        <w:br/>
      </w:r>
      <w:r>
        <w:rPr>
          <w:rFonts w:hint="cs"/>
          <w:b/>
          <w:bCs/>
          <w:rtl/>
        </w:rPr>
        <w:t xml:space="preserve"> </w:t>
      </w:r>
      <w:r>
        <w:tab/>
      </w:r>
      <w:r>
        <w:tab/>
      </w:r>
      <w:r>
        <w:tab/>
      </w:r>
      <w:r>
        <w:tab/>
      </w:r>
      <w:r>
        <w:rPr>
          <w:rFonts w:hint="cs"/>
          <w:b/>
          <w:bCs/>
          <w:rtl/>
        </w:rPr>
        <w:t>יפעת שאשא ביטון</w:t>
      </w:r>
      <w:r>
        <w:br/>
      </w:r>
      <w:r>
        <w:rPr>
          <w:rFonts w:hint="cs"/>
          <w:b/>
          <w:bCs/>
          <w:rtl/>
        </w:rPr>
        <w:t xml:space="preserve"> </w:t>
      </w:r>
      <w:r>
        <w:tab/>
      </w:r>
      <w:r>
        <w:tab/>
      </w:r>
      <w:r>
        <w:tab/>
      </w:r>
      <w:r>
        <w:tab/>
      </w:r>
      <w:r>
        <w:rPr>
          <w:rFonts w:hint="cs"/>
          <w:b/>
          <w:bCs/>
          <w:rtl/>
        </w:rPr>
        <w:t>יוסי יונה</w:t>
      </w:r>
      <w:r>
        <w:br/>
      </w:r>
      <w:r>
        <w:rPr>
          <w:rFonts w:hint="cs"/>
          <w:b/>
          <w:bCs/>
          <w:rtl/>
        </w:rPr>
        <w:t xml:space="preserve"> </w:t>
      </w:r>
      <w:r>
        <w:tab/>
      </w:r>
      <w:r>
        <w:tab/>
      </w:r>
      <w:r>
        <w:tab/>
      </w:r>
      <w:r>
        <w:tab/>
      </w:r>
      <w:r>
        <w:rPr>
          <w:rFonts w:hint="cs"/>
          <w:b/>
          <w:bCs/>
          <w:rtl/>
        </w:rPr>
        <w:t>נחמן שי</w:t>
      </w:r>
      <w:r>
        <w:br/>
      </w:r>
      <w:r>
        <w:rPr>
          <w:rFonts w:hint="cs"/>
          <w:b/>
          <w:bCs/>
          <w:rtl/>
        </w:rPr>
        <w:t xml:space="preserve"> </w:t>
      </w:r>
      <w:r>
        <w:tab/>
      </w:r>
      <w:r>
        <w:tab/>
      </w:r>
      <w:r>
        <w:tab/>
      </w:r>
      <w:r>
        <w:tab/>
      </w:r>
      <w:r>
        <w:rPr>
          <w:rFonts w:hint="cs"/>
          <w:b/>
          <w:bCs/>
          <w:rtl/>
        </w:rPr>
        <w:t>טלי פלוסקוב</w:t>
      </w:r>
      <w:r>
        <w:br/>
      </w:r>
      <w:r>
        <w:rPr>
          <w:rFonts w:hint="cs"/>
          <w:b/>
          <w:bCs/>
          <w:rtl/>
        </w:rPr>
        <w:t xml:space="preserve"> </w:t>
      </w:r>
      <w:r>
        <w:tab/>
      </w:r>
      <w:r>
        <w:tab/>
      </w:r>
      <w:r>
        <w:tab/>
      </w:r>
      <w:r>
        <w:tab/>
      </w:r>
      <w:r>
        <w:rPr>
          <w:rFonts w:hint="cs"/>
          <w:b/>
          <w:bCs/>
          <w:rtl/>
        </w:rPr>
        <w:t>קארין אלהרר</w:t>
      </w:r>
      <w:bookmarkEnd w:id="4"/>
    </w:p>
    <w:p w14:paraId="7F6961AA" w14:textId="39F9D96B" w:rsidR="00E13C27" w:rsidRPr="00CF1AA2" w:rsidRDefault="007D585A" w:rsidP="0036422C">
      <w:pPr>
        <w:pStyle w:val="David"/>
        <w:spacing w:before="0" w:line="360" w:lineRule="auto"/>
        <w:ind w:left="3544"/>
        <w:rPr>
          <w:b/>
          <w:bCs/>
          <w:sz w:val="16"/>
          <w:szCs w:val="16"/>
          <w:rtl/>
        </w:rPr>
      </w:pPr>
      <w:bookmarkStart w:id="5" w:name="LGS_Join_List"/>
      <w:r>
        <w:rPr>
          <w:rtl/>
        </w:rPr>
        <w:t xml:space="preserve"> </w:t>
      </w:r>
      <w:bookmarkEnd w:id="5"/>
      <w:r w:rsidR="002200A1" w:rsidRPr="00CF1AA2">
        <w:rPr>
          <w:rFonts w:hint="cs"/>
          <w:rtl/>
        </w:rPr>
        <w:tab/>
      </w:r>
      <w:bookmarkStart w:id="6" w:name="LGS_PM_NamesJoin"/>
      <w:r>
        <w:rPr>
          <w:rFonts w:hint="cs"/>
          <w:rtl/>
        </w:rPr>
        <w:t xml:space="preserve"> </w:t>
      </w:r>
      <w:bookmarkEnd w:id="6"/>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7" w:name="Private_Number"/>
      <w:r>
        <w:rPr>
          <w:rFonts w:hint="cs"/>
          <w:rtl/>
        </w:rPr>
        <w:t xml:space="preserve"> </w:t>
      </w:r>
      <w:bookmarkEnd w:id="7"/>
    </w:p>
    <w:p w14:paraId="7F6961AC" w14:textId="77777777" w:rsidR="00E13C27" w:rsidRDefault="00E13C27" w:rsidP="00E13C27">
      <w:pPr>
        <w:spacing w:before="0" w:line="360" w:lineRule="auto"/>
        <w:ind w:left="2880" w:firstLine="720"/>
        <w:rPr>
          <w:rFonts w:cs="David"/>
          <w:sz w:val="26"/>
          <w:szCs w:val="26"/>
          <w:rtl/>
        </w:rPr>
      </w:pPr>
    </w:p>
    <w:p w14:paraId="7F6961AD" w14:textId="77777777" w:rsidR="00E13C27" w:rsidRPr="00F67051" w:rsidRDefault="00A443CF" w:rsidP="0021633A">
      <w:pPr>
        <w:pStyle w:val="HeadHatzaotHok"/>
        <w:rPr>
          <w:rtl/>
        </w:rPr>
      </w:pPr>
      <w:bookmarkStart w:id="8" w:name="LGS_Subject"/>
      <w:r>
        <w:rPr>
          <w:rFonts w:hint="cs"/>
          <w:rtl/>
        </w:rPr>
        <w:t xml:space="preserve">הצעת חוק הבטחת הכנסה (תיקון נעדר עוגן משפחתי) </w:t>
      </w:r>
      <w:proofErr w:type="spellStart"/>
      <w:r>
        <w:rPr>
          <w:rFonts w:hint="cs"/>
          <w:rtl/>
        </w:rPr>
        <w:t>התשע"ו</w:t>
      </w:r>
      <w:proofErr w:type="spellEnd"/>
      <w:r>
        <w:rPr>
          <w:rFonts w:hint="cs"/>
          <w:rtl/>
        </w:rPr>
        <w:t>, 2016</w:t>
      </w:r>
      <w:bookmarkEnd w:id="8"/>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2F1D80" w14:paraId="035EEF3D" w14:textId="77777777" w:rsidTr="002C3041">
        <w:trPr>
          <w:cantSplit/>
          <w:trHeight w:val="60"/>
        </w:trPr>
        <w:tc>
          <w:tcPr>
            <w:tcW w:w="1871" w:type="dxa"/>
          </w:tcPr>
          <w:p w14:paraId="3863FF98" w14:textId="7552B727" w:rsidR="002F1D80" w:rsidRDefault="002508B4" w:rsidP="002C3041">
            <w:pPr>
              <w:pStyle w:val="TableSideHeading"/>
              <w:keepLines w:val="0"/>
            </w:pPr>
            <w:r>
              <w:rPr>
                <w:rFonts w:hint="cs"/>
                <w:rtl/>
              </w:rPr>
              <w:t>תיקון הגדרת ילד נטוש</w:t>
            </w:r>
          </w:p>
        </w:tc>
        <w:tc>
          <w:tcPr>
            <w:tcW w:w="624" w:type="dxa"/>
          </w:tcPr>
          <w:p w14:paraId="6F513EF6" w14:textId="07A469AC" w:rsidR="002F1D80" w:rsidRDefault="002508B4" w:rsidP="002C3041">
            <w:pPr>
              <w:pStyle w:val="TableText"/>
              <w:keepLines w:val="0"/>
            </w:pPr>
            <w:r>
              <w:rPr>
                <w:rFonts w:hint="cs"/>
                <w:rtl/>
              </w:rPr>
              <w:t>1.</w:t>
            </w:r>
          </w:p>
        </w:tc>
        <w:tc>
          <w:tcPr>
            <w:tcW w:w="7146" w:type="dxa"/>
          </w:tcPr>
          <w:p w14:paraId="1AE94DEB" w14:textId="37FC7F9C" w:rsidR="002F1D80" w:rsidRPr="002508B4" w:rsidRDefault="002508B4" w:rsidP="006C74B7">
            <w:pPr>
              <w:pStyle w:val="TableBlock"/>
            </w:pPr>
            <w:r w:rsidRPr="002508B4">
              <w:rPr>
                <w:rFonts w:hint="cs"/>
                <w:rtl/>
              </w:rPr>
              <w:t>בחוק הבטחת הכנסה</w:t>
            </w:r>
            <w:r w:rsidR="002651A8">
              <w:rPr>
                <w:rFonts w:hint="cs"/>
                <w:rtl/>
              </w:rPr>
              <w:t xml:space="preserve">, תשמ"א </w:t>
            </w:r>
            <w:r w:rsidR="002651A8">
              <w:rPr>
                <w:rStyle w:val="a5"/>
                <w:rtl/>
              </w:rPr>
              <w:footnoteReference w:id="2"/>
            </w:r>
            <w:r w:rsidR="002651A8">
              <w:rPr>
                <w:rFonts w:hint="cs"/>
                <w:rtl/>
              </w:rPr>
              <w:t>1980,</w:t>
            </w:r>
            <w:r w:rsidRPr="002508B4">
              <w:rPr>
                <w:rFonts w:hint="cs"/>
                <w:rtl/>
              </w:rPr>
              <w:t xml:space="preserve"> בתוספת הראשונה בסעיף </w:t>
            </w:r>
            <w:r w:rsidR="006C74B7">
              <w:rPr>
                <w:rFonts w:hint="cs"/>
                <w:rtl/>
              </w:rPr>
              <w:t>1</w:t>
            </w:r>
            <w:r w:rsidRPr="002508B4">
              <w:rPr>
                <w:rFonts w:hint="cs"/>
                <w:rtl/>
              </w:rPr>
              <w:t xml:space="preserve"> במקום "ילד נטוש" יבוא: נעדר עוגן משפחתי.</w:t>
            </w:r>
          </w:p>
        </w:tc>
      </w:tr>
      <w:tr w:rsidR="002F1D80" w14:paraId="3D9B61D1" w14:textId="77777777" w:rsidTr="002C3041">
        <w:trPr>
          <w:cantSplit/>
          <w:trHeight w:val="60"/>
        </w:trPr>
        <w:tc>
          <w:tcPr>
            <w:tcW w:w="1871" w:type="dxa"/>
          </w:tcPr>
          <w:p w14:paraId="6C0CB9D8" w14:textId="77777777" w:rsidR="002F1D80" w:rsidRDefault="002F1D80" w:rsidP="002C3041">
            <w:pPr>
              <w:pStyle w:val="TableSideHeading"/>
              <w:keepLines w:val="0"/>
            </w:pPr>
          </w:p>
        </w:tc>
        <w:tc>
          <w:tcPr>
            <w:tcW w:w="624" w:type="dxa"/>
          </w:tcPr>
          <w:p w14:paraId="3F4286A2" w14:textId="77777777" w:rsidR="002F1D80" w:rsidRDefault="002F1D80" w:rsidP="002C3041">
            <w:pPr>
              <w:pStyle w:val="TableText"/>
              <w:keepLines w:val="0"/>
            </w:pPr>
          </w:p>
        </w:tc>
        <w:tc>
          <w:tcPr>
            <w:tcW w:w="7146" w:type="dxa"/>
          </w:tcPr>
          <w:p w14:paraId="7633D5BB" w14:textId="77777777" w:rsidR="002F1D80" w:rsidRPr="00C34DE2" w:rsidRDefault="002F1D80" w:rsidP="002C3041">
            <w:pPr>
              <w:pStyle w:val="TableBlock"/>
              <w:keepLines w:val="0"/>
            </w:pPr>
          </w:p>
        </w:tc>
      </w:tr>
    </w:tbl>
    <w:p w14:paraId="7F6961CA" w14:textId="77777777" w:rsidR="002D1EE3" w:rsidRDefault="002D1EE3" w:rsidP="002D1EE3">
      <w:pPr>
        <w:pStyle w:val="HeadDivreiHesber"/>
        <w:rPr>
          <w:rtl/>
        </w:rPr>
      </w:pPr>
      <w:r w:rsidRPr="0027450A">
        <w:rPr>
          <w:rFonts w:hint="cs"/>
          <w:rtl/>
        </w:rPr>
        <w:t>דברי הסבר</w:t>
      </w:r>
    </w:p>
    <w:p w14:paraId="7A242F87" w14:textId="1E2EC84C" w:rsidR="00C06D07" w:rsidRPr="00C06D07" w:rsidRDefault="00C06D07" w:rsidP="00C06D07">
      <w:pPr>
        <w:pStyle w:val="Hesber1st"/>
        <w:tabs>
          <w:tab w:val="clear" w:pos="680"/>
        </w:tabs>
        <w:rPr>
          <w:rtl/>
        </w:rPr>
      </w:pPr>
      <w:r w:rsidRPr="00C06D07">
        <w:rPr>
          <w:rFonts w:hint="cs"/>
          <w:rtl/>
        </w:rPr>
        <w:t xml:space="preserve">בחוק הבטחת הכנסה, בתוספת הראשונה לחוק, מופיעה ההגדרה "ילד נטוש" על מנת לתאר מי שמלאו לו 18 שנים וטרם מלאו לו 20 שנים והוא ננטש על ידי הוריו בישראל, ובלבד שאחד מהוריו הוא תושב ישראל, או ילד שהורהו שהוא תושב ישראל נטש אותו בישראל והורהו השני נפטר, נעדר או שאינו מתגורר עמו, ונבצר ממנו </w:t>
      </w:r>
      <w:r w:rsidR="00B629BE">
        <w:rPr>
          <w:rFonts w:hint="cs"/>
          <w:rtl/>
        </w:rPr>
        <w:t>דרך קבע מלמלא חובותיו כלפי הילד. ההגדרה "ילד נטוש" שמה צעירים רבים במבוכה ובתחושת אי נוחות בבואם להגיש את התביעה לקבלת הקצבה. מהטעם הזה, מוצע לשנות את ההגדרה ל"נעדר עוגן משפחתי", הגדרה שמיטיבה לתאר את המצב בו שרוי אותו צעיר מבלי לגרום לו להסתייג מבקשת הקצבה על מנת לא להיות מוגדר כנטוש.</w:t>
      </w:r>
    </w:p>
    <w:p w14:paraId="7F6961CB" w14:textId="1926A211" w:rsidR="00E13C27" w:rsidRDefault="00E13C27" w:rsidP="00E13C27">
      <w:pPr>
        <w:pStyle w:val="Hesbe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231E6" w14:textId="77777777" w:rsidR="0097262C" w:rsidRDefault="0097262C">
      <w:r>
        <w:separator/>
      </w:r>
    </w:p>
  </w:endnote>
  <w:endnote w:type="continuationSeparator" w:id="0">
    <w:p w14:paraId="7D62D936" w14:textId="77777777" w:rsidR="0097262C" w:rsidRDefault="0097262C">
      <w:r>
        <w:continuationSeparator/>
      </w:r>
    </w:p>
  </w:endnote>
  <w:endnote w:type="continuationNotice" w:id="1">
    <w:p w14:paraId="6830791A" w14:textId="77777777" w:rsidR="0097262C" w:rsidRDefault="0097262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C66318">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6E1E7" w14:textId="77777777" w:rsidR="0097262C" w:rsidRDefault="0097262C">
      <w:r>
        <w:separator/>
      </w:r>
    </w:p>
  </w:footnote>
  <w:footnote w:type="continuationSeparator" w:id="0">
    <w:p w14:paraId="2985119B" w14:textId="77777777" w:rsidR="0097262C" w:rsidRDefault="0097262C">
      <w:r>
        <w:continuationSeparator/>
      </w:r>
    </w:p>
  </w:footnote>
  <w:footnote w:type="continuationNotice" w:id="1">
    <w:p w14:paraId="58389FF5" w14:textId="77777777" w:rsidR="0097262C" w:rsidRDefault="0097262C"/>
  </w:footnote>
  <w:footnote w:id="2">
    <w:p w14:paraId="6CB853EB" w14:textId="73811249" w:rsidR="002651A8" w:rsidRDefault="002651A8">
      <w:pPr>
        <w:pStyle w:val="a4"/>
        <w:rPr>
          <w:rtl/>
        </w:rPr>
      </w:pPr>
      <w:r>
        <w:rPr>
          <w:rStyle w:val="a5"/>
        </w:rPr>
        <w:footnoteRef/>
      </w:r>
      <w:r>
        <w:rPr>
          <w:rtl/>
        </w:rPr>
        <w:t xml:space="preserve"> </w:t>
      </w:r>
      <w:r>
        <w:rPr>
          <w:rFonts w:hint="cs"/>
          <w:rtl/>
        </w:rPr>
        <w:t xml:space="preserve">ס"ח עמ'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08B4"/>
    <w:rsid w:val="00251E58"/>
    <w:rsid w:val="00254605"/>
    <w:rsid w:val="002651A8"/>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6C74B7"/>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7262C"/>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629BE"/>
    <w:rsid w:val="00B733A7"/>
    <w:rsid w:val="00B75C91"/>
    <w:rsid w:val="00B975AD"/>
    <w:rsid w:val="00BC45FB"/>
    <w:rsid w:val="00BF148D"/>
    <w:rsid w:val="00C06D07"/>
    <w:rsid w:val="00C23B1A"/>
    <w:rsid w:val="00C310EB"/>
    <w:rsid w:val="00C66318"/>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F134C35F-BD81-4BFF-AEEA-EB4FFEE6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default">
    <w:name w:val="default"/>
    <w:basedOn w:val="a0"/>
    <w:rsid w:val="00C06D07"/>
    <w:rPr>
      <w:rFonts w:ascii="Times New Roman" w:hAnsi="Times New Roman" w:cs="Times New Roman"/>
      <w:sz w:val="26"/>
      <w:szCs w:val="26"/>
    </w:rPr>
  </w:style>
  <w:style w:type="paragraph" w:customStyle="1" w:styleId="P00">
    <w:name w:val="P00"/>
    <w:rsid w:val="00C06D0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2874A-E799-4799-987F-8B004D92B1BC}"/>
</file>

<file path=customXml/itemProps2.xml><?xml version="1.0" encoding="utf-8"?>
<ds:datastoreItem xmlns:ds="http://schemas.openxmlformats.org/officeDocument/2006/customXml" ds:itemID="{88F4AFE3-9455-419C-8851-785A55F44517}"/>
</file>

<file path=customXml/itemProps3.xml><?xml version="1.0" encoding="utf-8"?>
<ds:datastoreItem xmlns:ds="http://schemas.openxmlformats.org/officeDocument/2006/customXml" ds:itemID="{53CDC32B-DD97-493E-9196-3EF77D6F9C7D}"/>
</file>

<file path=customXml/itemProps4.xml><?xml version="1.0" encoding="utf-8"?>
<ds:datastoreItem xmlns:ds="http://schemas.openxmlformats.org/officeDocument/2006/customXml" ds:itemID="{F308A03A-1C69-4B9F-88A9-62F9053052F0}"/>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924</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אתי שבתאי</cp:lastModifiedBy>
  <cp:revision>2</cp:revision>
  <cp:lastPrinted>2013-07-04T08:25:00Z</cp:lastPrinted>
  <dcterms:created xsi:type="dcterms:W3CDTF">2016-06-21T15:52:00Z</dcterms:created>
  <dcterms:modified xsi:type="dcterms:W3CDTF">2016-06-21T15:52:00Z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8badafff-95aa-4718-b074-a2d35988ffa8</vt:lpwstr>
  </property>
  <property fmtid="{D5CDD505-2E9C-101B-9397-08002B2CF9AE}" pid="4" name="SanhedrinDocumentType">
    <vt:r8>88</vt:r8>
  </property>
  <property fmtid="{D5CDD505-2E9C-101B-9397-08002B2CF9AE}" pid="5" name="SanhedrinItemID">
    <vt:r8>2004422</vt:r8>
  </property>
</Properties>
</file>