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565632</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מיקי רוזנטל</w:t>
      </w:r>
      <w:r>
        <w:br/>
      </w:r>
      <w:r>
        <w:rPr>
          <w:rFonts w:hint="cs"/>
          <w:b/>
          <w:bCs/>
          <w:rtl/>
        </w:rPr>
        <w:t xml:space="preserve"> </w:t>
      </w:r>
      <w:r>
        <w:tab/>
      </w:r>
      <w:r>
        <w:tab/>
      </w:r>
      <w:r>
        <w:tab/>
      </w:r>
      <w:r>
        <w:tab/>
      </w:r>
      <w:r>
        <w:rPr>
          <w:rFonts w:hint="cs"/>
          <w:b/>
          <w:bCs/>
          <w:rtl/>
        </w:rPr>
        <w:t>אילן גילאון</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2D2881">
      <w:pPr>
        <w:pStyle w:val="David"/>
        <w:spacing w:before="0" w:line="24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2D2881">
      <w:pPr>
        <w:pStyle w:val="David"/>
        <w:spacing w:before="0" w:line="240" w:lineRule="auto"/>
        <w:ind w:left="3544"/>
        <w:rPr>
          <w:rtl/>
        </w:rPr>
      </w:pPr>
      <w:r>
        <w:t xml:space="preserve">                                            </w:t>
      </w:r>
      <w:r w:rsidR="008F1308">
        <w:t xml:space="preserve"> </w:t>
      </w:r>
      <w:bookmarkStart w:id="7" w:name="Private_Number"/>
      <w:r>
        <w:rPr>
          <w:rFonts w:hint="cs"/>
          <w:rtl/>
        </w:rPr>
        <w:t>פ/1638/20</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0D75C7D8" w:rsidR="00E13C27" w:rsidRDefault="00A443CF" w:rsidP="005F5DAA">
      <w:pPr>
        <w:pStyle w:val="HeadHatzaotHok"/>
        <w:rPr>
          <w:rtl/>
        </w:rPr>
      </w:pPr>
      <w:bookmarkStart w:id="8" w:name="LGS_Subject"/>
      <w:r>
        <w:rPr>
          <w:rFonts w:hint="cs"/>
          <w:rtl/>
        </w:rPr>
        <w:t xml:space="preserve">הצעת חוק איסור הפליית עיוורים המלווים בכלבי נחייה (תיקון – כלבים בהכשרה), </w:t>
      </w:r>
      <w:proofErr w:type="spellStart"/>
      <w:r>
        <w:rPr>
          <w:rFonts w:hint="cs"/>
          <w:rtl/>
        </w:rPr>
        <w:t>התשע"ה</w:t>
      </w:r>
      <w:proofErr w:type="spellEnd"/>
      <w:r>
        <w:rPr>
          <w:rFonts w:hint="cs"/>
          <w:rtl/>
        </w:rPr>
        <w:t>–201</w:t>
      </w:r>
      <w:bookmarkEnd w:id="8"/>
      <w:r w:rsidR="00B04F6A">
        <w:rPr>
          <w:rFonts w:hint="cs"/>
          <w:rtl/>
        </w:rPr>
        <w:t>5</w:t>
      </w:r>
    </w:p>
    <w:p w14:paraId="58353D19" w14:textId="77777777" w:rsidR="005F5DAA" w:rsidRPr="00F67051" w:rsidRDefault="005F5DAA" w:rsidP="005F5DAA">
      <w:pPr>
        <w:pStyle w:val="HeadHatzaotHok"/>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B04F6A" w14:paraId="2C6D8563" w14:textId="77777777" w:rsidTr="002E0177">
        <w:trPr>
          <w:cantSplit/>
          <w:trHeight w:val="60"/>
        </w:trPr>
        <w:tc>
          <w:tcPr>
            <w:tcW w:w="1871" w:type="dxa"/>
          </w:tcPr>
          <w:p w14:paraId="5DAC08E6" w14:textId="77777777" w:rsidR="00B04F6A" w:rsidRDefault="00B04F6A" w:rsidP="002E0177">
            <w:pPr>
              <w:pStyle w:val="TableSideHeading"/>
              <w:keepLines w:val="0"/>
            </w:pPr>
            <w:r>
              <w:rPr>
                <w:rtl/>
              </w:rPr>
              <w:t>תיקון סעיף 1</w:t>
            </w:r>
          </w:p>
        </w:tc>
        <w:tc>
          <w:tcPr>
            <w:tcW w:w="624" w:type="dxa"/>
          </w:tcPr>
          <w:p w14:paraId="2BDE4BC1" w14:textId="77777777" w:rsidR="00B04F6A" w:rsidRDefault="00B04F6A" w:rsidP="002E0177">
            <w:pPr>
              <w:pStyle w:val="TableText"/>
              <w:keepLines w:val="0"/>
            </w:pPr>
            <w:r>
              <w:rPr>
                <w:rtl/>
              </w:rPr>
              <w:t>1.</w:t>
            </w:r>
          </w:p>
        </w:tc>
        <w:tc>
          <w:tcPr>
            <w:tcW w:w="7146" w:type="dxa"/>
            <w:gridSpan w:val="5"/>
          </w:tcPr>
          <w:p w14:paraId="0A0CE9AF" w14:textId="77777777" w:rsidR="00B04F6A" w:rsidRPr="00C34DE2" w:rsidRDefault="00B04F6A" w:rsidP="002E0177">
            <w:pPr>
              <w:pStyle w:val="TableHead"/>
              <w:keepLines w:val="0"/>
              <w:jc w:val="both"/>
            </w:pPr>
            <w:r w:rsidRPr="006106AE">
              <w:rPr>
                <w:b w:val="0"/>
                <w:bCs w:val="0"/>
                <w:rtl/>
              </w:rPr>
              <w:t>ב</w:t>
            </w:r>
            <w:r>
              <w:rPr>
                <w:b w:val="0"/>
                <w:bCs w:val="0"/>
                <w:rtl/>
              </w:rPr>
              <w:t xml:space="preserve">חוק איסור הפליית עיוורים המלווים בכלבי נחייה, </w:t>
            </w:r>
            <w:proofErr w:type="spellStart"/>
            <w:r>
              <w:rPr>
                <w:b w:val="0"/>
                <w:bCs w:val="0"/>
                <w:rtl/>
              </w:rPr>
              <w:t>התשנ"ג</w:t>
            </w:r>
            <w:proofErr w:type="spellEnd"/>
            <w:r>
              <w:rPr>
                <w:b w:val="0"/>
                <w:bCs w:val="0"/>
                <w:rtl/>
              </w:rPr>
              <w:t>–1993</w:t>
            </w:r>
            <w:r>
              <w:rPr>
                <w:rStyle w:val="a6"/>
                <w:b w:val="0"/>
                <w:bCs w:val="0"/>
                <w:rtl/>
              </w:rPr>
              <w:footnoteReference w:id="2"/>
            </w:r>
            <w:r>
              <w:rPr>
                <w:b w:val="0"/>
                <w:bCs w:val="0"/>
                <w:rtl/>
              </w:rPr>
              <w:t xml:space="preserve"> (להלן – החוק העיקרי), ב</w:t>
            </w:r>
            <w:r w:rsidRPr="006106AE">
              <w:rPr>
                <w:b w:val="0"/>
                <w:bCs w:val="0"/>
                <w:rtl/>
              </w:rPr>
              <w:t>סעיף 1</w:t>
            </w:r>
            <w:r>
              <w:rPr>
                <w:b w:val="0"/>
                <w:bCs w:val="0"/>
                <w:rtl/>
              </w:rPr>
              <w:t xml:space="preserve"> – </w:t>
            </w:r>
            <w:r w:rsidRPr="006106AE">
              <w:rPr>
                <w:b w:val="0"/>
                <w:bCs w:val="0"/>
                <w:rtl/>
              </w:rPr>
              <w:t xml:space="preserve"> </w:t>
            </w:r>
          </w:p>
        </w:tc>
      </w:tr>
      <w:tr w:rsidR="00B04F6A" w14:paraId="1B7DA474" w14:textId="77777777" w:rsidTr="002E0177">
        <w:trPr>
          <w:cantSplit/>
          <w:trHeight w:val="60"/>
        </w:trPr>
        <w:tc>
          <w:tcPr>
            <w:tcW w:w="1871" w:type="dxa"/>
          </w:tcPr>
          <w:p w14:paraId="00A30441" w14:textId="77777777" w:rsidR="00B04F6A" w:rsidRDefault="00B04F6A" w:rsidP="002E0177">
            <w:pPr>
              <w:pStyle w:val="TableSideHeading"/>
            </w:pPr>
          </w:p>
        </w:tc>
        <w:tc>
          <w:tcPr>
            <w:tcW w:w="624" w:type="dxa"/>
          </w:tcPr>
          <w:p w14:paraId="08E6EA90" w14:textId="77777777" w:rsidR="00B04F6A" w:rsidRDefault="00B04F6A" w:rsidP="002E0177">
            <w:pPr>
              <w:pStyle w:val="TableText"/>
            </w:pPr>
          </w:p>
        </w:tc>
        <w:tc>
          <w:tcPr>
            <w:tcW w:w="7146" w:type="dxa"/>
            <w:gridSpan w:val="5"/>
          </w:tcPr>
          <w:p w14:paraId="1DC14B97" w14:textId="759ACC81" w:rsidR="00B04F6A" w:rsidRDefault="00B04F6A" w:rsidP="005F5DAA">
            <w:pPr>
              <w:pStyle w:val="TableBlock"/>
            </w:pPr>
            <w:r w:rsidRPr="009C164D">
              <w:rPr>
                <w:rtl/>
              </w:rPr>
              <w:t>(</w:t>
            </w:r>
            <w:r>
              <w:rPr>
                <w:rtl/>
              </w:rPr>
              <w:t>1</w:t>
            </w:r>
            <w:r w:rsidRPr="009C164D">
              <w:rPr>
                <w:rtl/>
              </w:rPr>
              <w:t>)</w:t>
            </w:r>
            <w:r w:rsidRPr="009C164D">
              <w:rPr>
                <w:rtl/>
              </w:rPr>
              <w:tab/>
              <w:t>במקום ההגדרה "מקום ציבורי" יבוא:</w:t>
            </w:r>
          </w:p>
        </w:tc>
      </w:tr>
      <w:tr w:rsidR="00B04F6A" w14:paraId="17FFB3C4" w14:textId="77777777" w:rsidTr="002E0177">
        <w:trPr>
          <w:cantSplit/>
          <w:trHeight w:val="60"/>
        </w:trPr>
        <w:tc>
          <w:tcPr>
            <w:tcW w:w="1871" w:type="dxa"/>
          </w:tcPr>
          <w:p w14:paraId="3E1AC800" w14:textId="77777777" w:rsidR="00B04F6A" w:rsidRDefault="00B04F6A" w:rsidP="002E0177">
            <w:pPr>
              <w:pStyle w:val="TableSideHeading"/>
            </w:pPr>
          </w:p>
        </w:tc>
        <w:tc>
          <w:tcPr>
            <w:tcW w:w="624" w:type="dxa"/>
          </w:tcPr>
          <w:p w14:paraId="24777FA1" w14:textId="77777777" w:rsidR="00B04F6A" w:rsidRDefault="00B04F6A" w:rsidP="002E0177">
            <w:pPr>
              <w:pStyle w:val="TableText"/>
            </w:pPr>
          </w:p>
        </w:tc>
        <w:tc>
          <w:tcPr>
            <w:tcW w:w="624" w:type="dxa"/>
          </w:tcPr>
          <w:p w14:paraId="17681AA2" w14:textId="77777777" w:rsidR="00B04F6A" w:rsidRDefault="00B04F6A" w:rsidP="002E0177">
            <w:pPr>
              <w:pStyle w:val="TableText"/>
            </w:pPr>
          </w:p>
        </w:tc>
        <w:tc>
          <w:tcPr>
            <w:tcW w:w="6522" w:type="dxa"/>
            <w:gridSpan w:val="4"/>
          </w:tcPr>
          <w:p w14:paraId="0FD275D9" w14:textId="075A5524" w:rsidR="00B04F6A" w:rsidRPr="002273B2" w:rsidRDefault="00B04F6A" w:rsidP="00C955EF">
            <w:pPr>
              <w:pStyle w:val="TableBlockOutdent"/>
            </w:pPr>
            <w:r w:rsidRPr="00BA47A8">
              <w:rPr>
                <w:rtl/>
              </w:rPr>
              <w:t>""מקום ציבורי" – כהגדרתו בסעיף 19ה לחוק שוויון</w:t>
            </w:r>
            <w:r w:rsidR="00BA47A8" w:rsidRPr="00BA47A8">
              <w:rPr>
                <w:rFonts w:hint="cs"/>
                <w:rtl/>
              </w:rPr>
              <w:t xml:space="preserve"> זכויות לאנשים עם מוגבלות</w:t>
            </w:r>
            <w:r w:rsidR="00C955EF">
              <w:rPr>
                <w:rFonts w:hint="cs"/>
                <w:rtl/>
              </w:rPr>
              <w:t>;</w:t>
            </w:r>
            <w:r w:rsidRPr="002273B2">
              <w:rPr>
                <w:rtl/>
              </w:rPr>
              <w:t>";</w:t>
            </w:r>
          </w:p>
        </w:tc>
      </w:tr>
      <w:tr w:rsidR="00B04F6A" w14:paraId="6A8B1FE3" w14:textId="77777777" w:rsidTr="002E0177">
        <w:trPr>
          <w:cantSplit/>
          <w:trHeight w:val="60"/>
        </w:trPr>
        <w:tc>
          <w:tcPr>
            <w:tcW w:w="1871" w:type="dxa"/>
          </w:tcPr>
          <w:p w14:paraId="47A026F1" w14:textId="77777777" w:rsidR="00B04F6A" w:rsidRDefault="00B04F6A" w:rsidP="002E0177">
            <w:pPr>
              <w:pStyle w:val="TableSideHeading"/>
            </w:pPr>
          </w:p>
        </w:tc>
        <w:tc>
          <w:tcPr>
            <w:tcW w:w="624" w:type="dxa"/>
          </w:tcPr>
          <w:p w14:paraId="6602C2FD" w14:textId="77777777" w:rsidR="00B04F6A" w:rsidRDefault="00B04F6A" w:rsidP="002E0177">
            <w:pPr>
              <w:pStyle w:val="TableText"/>
            </w:pPr>
          </w:p>
        </w:tc>
        <w:tc>
          <w:tcPr>
            <w:tcW w:w="7146" w:type="dxa"/>
            <w:gridSpan w:val="5"/>
          </w:tcPr>
          <w:p w14:paraId="12FF6324" w14:textId="07414C05" w:rsidR="00B04F6A" w:rsidRDefault="00B04F6A" w:rsidP="00C955EF">
            <w:pPr>
              <w:pStyle w:val="TableBlock"/>
            </w:pPr>
            <w:r w:rsidRPr="009C164D">
              <w:rPr>
                <w:rtl/>
              </w:rPr>
              <w:t>(</w:t>
            </w:r>
            <w:r>
              <w:rPr>
                <w:rtl/>
              </w:rPr>
              <w:t>2</w:t>
            </w:r>
            <w:r w:rsidRPr="009C164D">
              <w:rPr>
                <w:rtl/>
              </w:rPr>
              <w:t>)</w:t>
            </w:r>
            <w:r w:rsidRPr="009C164D">
              <w:rPr>
                <w:rtl/>
              </w:rPr>
              <w:tab/>
              <w:t>בהגדר</w:t>
            </w:r>
            <w:r>
              <w:rPr>
                <w:rtl/>
              </w:rPr>
              <w:t>ה</w:t>
            </w:r>
            <w:r w:rsidRPr="009C164D">
              <w:rPr>
                <w:rtl/>
              </w:rPr>
              <w:t xml:space="preserve"> "כלב נחייה"</w:t>
            </w:r>
            <w:r w:rsidR="00C955EF">
              <w:rPr>
                <w:rFonts w:hint="cs"/>
                <w:rtl/>
              </w:rPr>
              <w:t>,</w:t>
            </w:r>
            <w:r w:rsidRPr="009C164D">
              <w:rPr>
                <w:rtl/>
              </w:rPr>
              <w:t xml:space="preserve"> </w:t>
            </w:r>
            <w:r>
              <w:rPr>
                <w:rtl/>
              </w:rPr>
              <w:t xml:space="preserve">המילה </w:t>
            </w:r>
            <w:r w:rsidRPr="009C164D">
              <w:rPr>
                <w:rtl/>
              </w:rPr>
              <w:t xml:space="preserve">"מאולף" </w:t>
            </w:r>
            <w:r>
              <w:rPr>
                <w:rtl/>
              </w:rPr>
              <w:t xml:space="preserve">– תימחק, ובסופה </w:t>
            </w:r>
            <w:r w:rsidRPr="009C164D">
              <w:rPr>
                <w:rtl/>
              </w:rPr>
              <w:t>יבוא "</w:t>
            </w:r>
            <w:r w:rsidR="00BA47A8">
              <w:rPr>
                <w:rFonts w:hint="cs"/>
                <w:rtl/>
              </w:rPr>
              <w:t>ו</w:t>
            </w:r>
            <w:r w:rsidRPr="009C164D">
              <w:rPr>
                <w:rtl/>
              </w:rPr>
              <w:t>עבר הכשרה</w:t>
            </w:r>
            <w:r>
              <w:rPr>
                <w:rtl/>
              </w:rPr>
              <w:t xml:space="preserve"> לתפקיד זה</w:t>
            </w:r>
            <w:r w:rsidRPr="009C164D">
              <w:rPr>
                <w:rtl/>
              </w:rPr>
              <w:t>"</w:t>
            </w:r>
            <w:r>
              <w:rPr>
                <w:rtl/>
              </w:rPr>
              <w:t>;</w:t>
            </w:r>
          </w:p>
        </w:tc>
      </w:tr>
      <w:tr w:rsidR="00B04F6A" w14:paraId="3CD86A04" w14:textId="77777777" w:rsidTr="002E0177">
        <w:trPr>
          <w:cantSplit/>
          <w:trHeight w:val="60"/>
        </w:trPr>
        <w:tc>
          <w:tcPr>
            <w:tcW w:w="1871" w:type="dxa"/>
          </w:tcPr>
          <w:p w14:paraId="76533010" w14:textId="77777777" w:rsidR="00B04F6A" w:rsidRDefault="00B04F6A" w:rsidP="002E0177">
            <w:pPr>
              <w:pStyle w:val="TableSideHeading"/>
            </w:pPr>
          </w:p>
        </w:tc>
        <w:tc>
          <w:tcPr>
            <w:tcW w:w="624" w:type="dxa"/>
          </w:tcPr>
          <w:p w14:paraId="7067C587" w14:textId="77777777" w:rsidR="00B04F6A" w:rsidRDefault="00B04F6A" w:rsidP="002E0177">
            <w:pPr>
              <w:pStyle w:val="TableText"/>
            </w:pPr>
          </w:p>
        </w:tc>
        <w:tc>
          <w:tcPr>
            <w:tcW w:w="7146" w:type="dxa"/>
            <w:gridSpan w:val="5"/>
          </w:tcPr>
          <w:p w14:paraId="5811C5A7" w14:textId="6BF57E5F" w:rsidR="00B04F6A" w:rsidRDefault="00B04F6A" w:rsidP="005F5DAA">
            <w:pPr>
              <w:pStyle w:val="TableBlock"/>
            </w:pPr>
            <w:r>
              <w:rPr>
                <w:rtl/>
              </w:rPr>
              <w:t>(3)</w:t>
            </w:r>
            <w:r>
              <w:rPr>
                <w:rtl/>
              </w:rPr>
              <w:tab/>
              <w:t>בסופו יבוא:</w:t>
            </w:r>
          </w:p>
        </w:tc>
      </w:tr>
      <w:tr w:rsidR="00B04F6A" w14:paraId="05825FCA" w14:textId="77777777" w:rsidTr="002E0177">
        <w:trPr>
          <w:cantSplit/>
          <w:trHeight w:val="60"/>
        </w:trPr>
        <w:tc>
          <w:tcPr>
            <w:tcW w:w="1871" w:type="dxa"/>
          </w:tcPr>
          <w:p w14:paraId="5567E6D4" w14:textId="77777777" w:rsidR="00B04F6A" w:rsidRDefault="00B04F6A" w:rsidP="002E0177">
            <w:pPr>
              <w:pStyle w:val="TableSideHeading"/>
            </w:pPr>
          </w:p>
        </w:tc>
        <w:tc>
          <w:tcPr>
            <w:tcW w:w="624" w:type="dxa"/>
          </w:tcPr>
          <w:p w14:paraId="0E0F48E2" w14:textId="77777777" w:rsidR="00B04F6A" w:rsidRDefault="00B04F6A" w:rsidP="002E0177">
            <w:pPr>
              <w:pStyle w:val="TableText"/>
            </w:pPr>
          </w:p>
        </w:tc>
        <w:tc>
          <w:tcPr>
            <w:tcW w:w="624" w:type="dxa"/>
          </w:tcPr>
          <w:p w14:paraId="7B6BAEDC" w14:textId="77777777" w:rsidR="00B04F6A" w:rsidRDefault="00B04F6A" w:rsidP="002E0177">
            <w:pPr>
              <w:pStyle w:val="TableText"/>
            </w:pPr>
          </w:p>
        </w:tc>
        <w:tc>
          <w:tcPr>
            <w:tcW w:w="6522" w:type="dxa"/>
            <w:gridSpan w:val="4"/>
          </w:tcPr>
          <w:p w14:paraId="6D2026EE" w14:textId="2D8D0C18" w:rsidR="00B04F6A" w:rsidRPr="00284751" w:rsidRDefault="00FB0C58" w:rsidP="00BA47A8">
            <w:pPr>
              <w:pStyle w:val="TableBlockOutdent"/>
              <w:rPr>
                <w:rtl/>
              </w:rPr>
            </w:pPr>
            <w:r>
              <w:rPr>
                <w:rFonts w:hint="cs"/>
                <w:rtl/>
              </w:rPr>
              <w:t>"</w:t>
            </w:r>
            <w:r w:rsidR="00B04F6A" w:rsidRPr="00284751">
              <w:rPr>
                <w:rtl/>
              </w:rPr>
              <w:t xml:space="preserve">"אומן לכלב נחייה" – אדם המגדל כלב לצורך הכשרתו לתפקיד כלב נחייה והוא </w:t>
            </w:r>
            <w:r w:rsidR="00B04F6A">
              <w:rPr>
                <w:rtl/>
              </w:rPr>
              <w:t>בעל</w:t>
            </w:r>
            <w:r w:rsidR="00B04F6A" w:rsidRPr="00284751">
              <w:rPr>
                <w:rtl/>
              </w:rPr>
              <w:t xml:space="preserve"> תעודה מטעם מרכז הדרכה לכלבי נחייה</w:t>
            </w:r>
            <w:r w:rsidR="00B04F6A">
              <w:rPr>
                <w:rtl/>
              </w:rPr>
              <w:t>,</w:t>
            </w:r>
            <w:r w:rsidR="00B04F6A" w:rsidRPr="00284751">
              <w:rPr>
                <w:rtl/>
              </w:rPr>
              <w:t xml:space="preserve"> המעידה על תפקידו</w:t>
            </w:r>
            <w:r w:rsidR="001F2B8B">
              <w:rPr>
                <w:rFonts w:hint="cs"/>
                <w:rtl/>
              </w:rPr>
              <w:t xml:space="preserve"> </w:t>
            </w:r>
            <w:r w:rsidR="00B04F6A" w:rsidRPr="00284751">
              <w:rPr>
                <w:rtl/>
              </w:rPr>
              <w:t xml:space="preserve">כאומן לכלב </w:t>
            </w:r>
            <w:r w:rsidR="00B04F6A">
              <w:rPr>
                <w:rtl/>
              </w:rPr>
              <w:t>נחייה;</w:t>
            </w:r>
          </w:p>
        </w:tc>
      </w:tr>
      <w:tr w:rsidR="00B04F6A" w14:paraId="175094D2" w14:textId="77777777" w:rsidTr="002E0177">
        <w:trPr>
          <w:cantSplit/>
          <w:trHeight w:val="60"/>
        </w:trPr>
        <w:tc>
          <w:tcPr>
            <w:tcW w:w="1871" w:type="dxa"/>
          </w:tcPr>
          <w:p w14:paraId="75A18E70" w14:textId="77777777" w:rsidR="00B04F6A" w:rsidRDefault="00B04F6A" w:rsidP="002E0177">
            <w:pPr>
              <w:pStyle w:val="TableSideHeading"/>
            </w:pPr>
          </w:p>
        </w:tc>
        <w:tc>
          <w:tcPr>
            <w:tcW w:w="624" w:type="dxa"/>
          </w:tcPr>
          <w:p w14:paraId="51E25885" w14:textId="77777777" w:rsidR="00B04F6A" w:rsidRDefault="00B04F6A" w:rsidP="002E0177">
            <w:pPr>
              <w:pStyle w:val="TableText"/>
            </w:pPr>
          </w:p>
        </w:tc>
        <w:tc>
          <w:tcPr>
            <w:tcW w:w="624" w:type="dxa"/>
          </w:tcPr>
          <w:p w14:paraId="736ACD7D" w14:textId="77777777" w:rsidR="00B04F6A" w:rsidRDefault="00B04F6A" w:rsidP="002E0177">
            <w:pPr>
              <w:pStyle w:val="TableText"/>
            </w:pPr>
          </w:p>
        </w:tc>
        <w:tc>
          <w:tcPr>
            <w:tcW w:w="6522" w:type="dxa"/>
            <w:gridSpan w:val="4"/>
          </w:tcPr>
          <w:p w14:paraId="635A392E" w14:textId="77777777" w:rsidR="00B04F6A" w:rsidRPr="003B5DE9" w:rsidRDefault="00B04F6A" w:rsidP="002E0177">
            <w:pPr>
              <w:pStyle w:val="TableBlock"/>
              <w:rPr>
                <w:rtl/>
              </w:rPr>
            </w:pPr>
            <w:r w:rsidRPr="009C164D">
              <w:rPr>
                <w:rtl/>
              </w:rPr>
              <w:t xml:space="preserve">"חוק העונשין" </w:t>
            </w:r>
            <w:r>
              <w:rPr>
                <w:rtl/>
              </w:rPr>
              <w:t>–</w:t>
            </w:r>
            <w:r w:rsidRPr="009C164D">
              <w:rPr>
                <w:rtl/>
              </w:rPr>
              <w:t xml:space="preserve"> חוק העונשין, </w:t>
            </w:r>
            <w:proofErr w:type="spellStart"/>
            <w:r w:rsidRPr="009C164D">
              <w:rPr>
                <w:rtl/>
              </w:rPr>
              <w:t>התשל"ז</w:t>
            </w:r>
            <w:proofErr w:type="spellEnd"/>
            <w:r>
              <w:rPr>
                <w:rtl/>
              </w:rPr>
              <w:t>–</w:t>
            </w:r>
            <w:r w:rsidRPr="009C164D">
              <w:rPr>
                <w:rtl/>
              </w:rPr>
              <w:t>1977</w:t>
            </w:r>
            <w:r w:rsidRPr="009C164D">
              <w:rPr>
                <w:vertAlign w:val="superscript"/>
                <w:rtl/>
              </w:rPr>
              <w:footnoteReference w:id="3"/>
            </w:r>
            <w:r w:rsidRPr="009C164D">
              <w:rPr>
                <w:rtl/>
              </w:rPr>
              <w:t>;</w:t>
            </w:r>
          </w:p>
        </w:tc>
      </w:tr>
      <w:tr w:rsidR="00B04F6A" w14:paraId="6FE484FF" w14:textId="77777777" w:rsidTr="002E0177">
        <w:trPr>
          <w:cantSplit/>
          <w:trHeight w:val="60"/>
        </w:trPr>
        <w:tc>
          <w:tcPr>
            <w:tcW w:w="1871" w:type="dxa"/>
          </w:tcPr>
          <w:p w14:paraId="096A007A" w14:textId="77777777" w:rsidR="00B04F6A" w:rsidRDefault="00B04F6A" w:rsidP="002E0177">
            <w:pPr>
              <w:pStyle w:val="TableSideHeading"/>
            </w:pPr>
          </w:p>
        </w:tc>
        <w:tc>
          <w:tcPr>
            <w:tcW w:w="624" w:type="dxa"/>
          </w:tcPr>
          <w:p w14:paraId="42A10709" w14:textId="77777777" w:rsidR="00B04F6A" w:rsidRDefault="00B04F6A" w:rsidP="002E0177">
            <w:pPr>
              <w:pStyle w:val="TableText"/>
            </w:pPr>
          </w:p>
        </w:tc>
        <w:tc>
          <w:tcPr>
            <w:tcW w:w="624" w:type="dxa"/>
          </w:tcPr>
          <w:p w14:paraId="3697BF62" w14:textId="77777777" w:rsidR="00B04F6A" w:rsidRDefault="00B04F6A" w:rsidP="002E0177">
            <w:pPr>
              <w:pStyle w:val="TableText"/>
            </w:pPr>
          </w:p>
        </w:tc>
        <w:tc>
          <w:tcPr>
            <w:tcW w:w="6522" w:type="dxa"/>
            <w:gridSpan w:val="4"/>
          </w:tcPr>
          <w:p w14:paraId="7695E7A4" w14:textId="2827F110" w:rsidR="00B04F6A" w:rsidRPr="003B5DE9" w:rsidRDefault="00B04F6A" w:rsidP="002E0177">
            <w:pPr>
              <w:pStyle w:val="TableBlockOutdent"/>
              <w:rPr>
                <w:rtl/>
              </w:rPr>
            </w:pPr>
            <w:r w:rsidRPr="003B5DE9">
              <w:rPr>
                <w:rtl/>
              </w:rPr>
              <w:t>"חוק שוויון</w:t>
            </w:r>
            <w:r w:rsidR="00BA47A8">
              <w:rPr>
                <w:rFonts w:hint="cs"/>
                <w:rtl/>
              </w:rPr>
              <w:t xml:space="preserve"> זכויות לאנשים עם מוגבלות</w:t>
            </w:r>
            <w:r w:rsidRPr="003B5DE9">
              <w:rPr>
                <w:rtl/>
              </w:rPr>
              <w:t xml:space="preserve">" – חוק שוויון זכויות לאנשים עם מוגבלות, </w:t>
            </w:r>
            <w:proofErr w:type="spellStart"/>
            <w:r w:rsidRPr="003B5DE9">
              <w:rPr>
                <w:rtl/>
              </w:rPr>
              <w:t>התשנ"ח</w:t>
            </w:r>
            <w:proofErr w:type="spellEnd"/>
            <w:r w:rsidRPr="003B5DE9">
              <w:rPr>
                <w:rtl/>
              </w:rPr>
              <w:t>–1998</w:t>
            </w:r>
            <w:r w:rsidRPr="003B5DE9">
              <w:rPr>
                <w:vertAlign w:val="superscript"/>
                <w:rtl/>
              </w:rPr>
              <w:footnoteReference w:id="4"/>
            </w:r>
            <w:r>
              <w:rPr>
                <w:rtl/>
              </w:rPr>
              <w:t>;</w:t>
            </w:r>
          </w:p>
        </w:tc>
      </w:tr>
      <w:tr w:rsidR="00B04F6A" w14:paraId="316435AD" w14:textId="77777777" w:rsidTr="002E0177">
        <w:trPr>
          <w:cantSplit/>
          <w:trHeight w:val="60"/>
        </w:trPr>
        <w:tc>
          <w:tcPr>
            <w:tcW w:w="1871" w:type="dxa"/>
          </w:tcPr>
          <w:p w14:paraId="2CCF2598" w14:textId="77777777" w:rsidR="00B04F6A" w:rsidRDefault="00B04F6A" w:rsidP="002E0177">
            <w:pPr>
              <w:pStyle w:val="TableSideHeading"/>
            </w:pPr>
          </w:p>
        </w:tc>
        <w:tc>
          <w:tcPr>
            <w:tcW w:w="624" w:type="dxa"/>
          </w:tcPr>
          <w:p w14:paraId="21E214E8" w14:textId="77777777" w:rsidR="00B04F6A" w:rsidRDefault="00B04F6A" w:rsidP="002E0177">
            <w:pPr>
              <w:pStyle w:val="TableText"/>
            </w:pPr>
          </w:p>
        </w:tc>
        <w:tc>
          <w:tcPr>
            <w:tcW w:w="624" w:type="dxa"/>
          </w:tcPr>
          <w:p w14:paraId="7948D634" w14:textId="77777777" w:rsidR="00B04F6A" w:rsidRDefault="00B04F6A" w:rsidP="002E0177">
            <w:pPr>
              <w:pStyle w:val="TableText"/>
            </w:pPr>
          </w:p>
        </w:tc>
        <w:tc>
          <w:tcPr>
            <w:tcW w:w="6522" w:type="dxa"/>
            <w:gridSpan w:val="4"/>
          </w:tcPr>
          <w:p w14:paraId="7A4E857E" w14:textId="77777777" w:rsidR="00B04F6A" w:rsidRPr="00522CF6" w:rsidRDefault="00B04F6A" w:rsidP="002E0177">
            <w:pPr>
              <w:pStyle w:val="TableBlockOutdent"/>
              <w:rPr>
                <w:rtl/>
              </w:rPr>
            </w:pPr>
            <w:r w:rsidRPr="00522CF6">
              <w:rPr>
                <w:rtl/>
              </w:rPr>
              <w:t xml:space="preserve">"כלב בתהליך הכשרה" – כלב הגדל אצל אומן לכלב נחייה לצורך הכשרתו לתפקיד כלב נחייה, או כלב העובר הכשרה כאמור </w:t>
            </w:r>
            <w:r>
              <w:rPr>
                <w:rtl/>
              </w:rPr>
              <w:t>על ידי מדריך כלבי נחייה;</w:t>
            </w:r>
          </w:p>
        </w:tc>
      </w:tr>
      <w:tr w:rsidR="00B04F6A" w14:paraId="017CFE74" w14:textId="77777777" w:rsidTr="002E0177">
        <w:trPr>
          <w:cantSplit/>
          <w:trHeight w:val="60"/>
        </w:trPr>
        <w:tc>
          <w:tcPr>
            <w:tcW w:w="1871" w:type="dxa"/>
          </w:tcPr>
          <w:p w14:paraId="6C6BEDE9" w14:textId="77777777" w:rsidR="00B04F6A" w:rsidRDefault="00B04F6A" w:rsidP="002E0177">
            <w:pPr>
              <w:pStyle w:val="TableSideHeading"/>
            </w:pPr>
          </w:p>
        </w:tc>
        <w:tc>
          <w:tcPr>
            <w:tcW w:w="624" w:type="dxa"/>
          </w:tcPr>
          <w:p w14:paraId="0392E91A" w14:textId="77777777" w:rsidR="00B04F6A" w:rsidRDefault="00B04F6A" w:rsidP="002E0177">
            <w:pPr>
              <w:pStyle w:val="TableText"/>
            </w:pPr>
          </w:p>
        </w:tc>
        <w:tc>
          <w:tcPr>
            <w:tcW w:w="624" w:type="dxa"/>
          </w:tcPr>
          <w:p w14:paraId="36053BAD" w14:textId="77777777" w:rsidR="00B04F6A" w:rsidRDefault="00B04F6A" w:rsidP="002E0177">
            <w:pPr>
              <w:pStyle w:val="TableText"/>
            </w:pPr>
          </w:p>
        </w:tc>
        <w:tc>
          <w:tcPr>
            <w:tcW w:w="6522" w:type="dxa"/>
            <w:gridSpan w:val="4"/>
          </w:tcPr>
          <w:p w14:paraId="01CF1C4A" w14:textId="77777777" w:rsidR="00B04F6A" w:rsidRPr="00522CF6" w:rsidRDefault="00B04F6A" w:rsidP="002E0177">
            <w:pPr>
              <w:pStyle w:val="TableBlockOutdent"/>
              <w:rPr>
                <w:rtl/>
              </w:rPr>
            </w:pPr>
            <w:r w:rsidRPr="00522CF6">
              <w:rPr>
                <w:rtl/>
              </w:rPr>
              <w:t xml:space="preserve">"מדריך כלבי נחייה" – בוגר מרכז הדרכה לכלבי נחייה, </w:t>
            </w:r>
            <w:r>
              <w:rPr>
                <w:rtl/>
              </w:rPr>
              <w:t>ש</w:t>
            </w:r>
            <w:r w:rsidRPr="00522CF6">
              <w:rPr>
                <w:rtl/>
              </w:rPr>
              <w:t>תפקידו להכשיר כלבי נחי</w:t>
            </w:r>
            <w:r>
              <w:rPr>
                <w:rtl/>
              </w:rPr>
              <w:t>י</w:t>
            </w:r>
            <w:r w:rsidRPr="00522CF6">
              <w:rPr>
                <w:rtl/>
              </w:rPr>
              <w:t>ה והוא בעל תעודה המעידה על הסמכתו לתפקידו;</w:t>
            </w:r>
          </w:p>
        </w:tc>
      </w:tr>
      <w:tr w:rsidR="00B04F6A" w14:paraId="6C30BE2E" w14:textId="77777777" w:rsidTr="002E0177">
        <w:trPr>
          <w:cantSplit/>
          <w:trHeight w:val="60"/>
        </w:trPr>
        <w:tc>
          <w:tcPr>
            <w:tcW w:w="1871" w:type="dxa"/>
          </w:tcPr>
          <w:p w14:paraId="333A6B21" w14:textId="77777777" w:rsidR="00B04F6A" w:rsidRDefault="00B04F6A" w:rsidP="002E0177">
            <w:pPr>
              <w:pStyle w:val="TableSideHeading"/>
            </w:pPr>
          </w:p>
        </w:tc>
        <w:tc>
          <w:tcPr>
            <w:tcW w:w="624" w:type="dxa"/>
          </w:tcPr>
          <w:p w14:paraId="632CAA4C" w14:textId="77777777" w:rsidR="00B04F6A" w:rsidRDefault="00B04F6A" w:rsidP="002E0177">
            <w:pPr>
              <w:pStyle w:val="TableText"/>
            </w:pPr>
          </w:p>
        </w:tc>
        <w:tc>
          <w:tcPr>
            <w:tcW w:w="624" w:type="dxa"/>
          </w:tcPr>
          <w:p w14:paraId="438E001F" w14:textId="77777777" w:rsidR="00B04F6A" w:rsidRDefault="00B04F6A" w:rsidP="002E0177">
            <w:pPr>
              <w:pStyle w:val="TableText"/>
            </w:pPr>
          </w:p>
        </w:tc>
        <w:tc>
          <w:tcPr>
            <w:tcW w:w="6522" w:type="dxa"/>
            <w:gridSpan w:val="4"/>
          </w:tcPr>
          <w:p w14:paraId="39A78F49" w14:textId="77777777" w:rsidR="00B04F6A" w:rsidRPr="00522CF6" w:rsidRDefault="00B04F6A" w:rsidP="002E0177">
            <w:pPr>
              <w:pStyle w:val="TableBlockOutdent"/>
              <w:rPr>
                <w:rtl/>
              </w:rPr>
            </w:pPr>
            <w:r w:rsidRPr="00522CF6">
              <w:rPr>
                <w:rtl/>
              </w:rPr>
              <w:t>"מרכז הדרכה לכלבי נחייה" – גוף שהוכר על ידי משרד הרווחה והשירותים החברתיים או משרד הביטחון כמרכז הדרכה להכשרת כלבי נחייה;</w:t>
            </w:r>
          </w:p>
        </w:tc>
      </w:tr>
      <w:tr w:rsidR="00B04F6A" w14:paraId="01C4035B" w14:textId="77777777" w:rsidTr="002E0177">
        <w:trPr>
          <w:cantSplit/>
          <w:trHeight w:val="60"/>
        </w:trPr>
        <w:tc>
          <w:tcPr>
            <w:tcW w:w="1871" w:type="dxa"/>
          </w:tcPr>
          <w:p w14:paraId="24FCE2AC" w14:textId="77777777" w:rsidR="00B04F6A" w:rsidRDefault="00B04F6A" w:rsidP="002E0177">
            <w:pPr>
              <w:pStyle w:val="TableSideHeading"/>
            </w:pPr>
          </w:p>
        </w:tc>
        <w:tc>
          <w:tcPr>
            <w:tcW w:w="624" w:type="dxa"/>
          </w:tcPr>
          <w:p w14:paraId="1490B2FC" w14:textId="77777777" w:rsidR="00B04F6A" w:rsidRDefault="00B04F6A" w:rsidP="002E0177">
            <w:pPr>
              <w:pStyle w:val="TableText"/>
            </w:pPr>
          </w:p>
        </w:tc>
        <w:tc>
          <w:tcPr>
            <w:tcW w:w="624" w:type="dxa"/>
          </w:tcPr>
          <w:p w14:paraId="0E2F2080" w14:textId="77777777" w:rsidR="00B04F6A" w:rsidRDefault="00B04F6A" w:rsidP="002E0177">
            <w:pPr>
              <w:pStyle w:val="TableText"/>
            </w:pPr>
          </w:p>
        </w:tc>
        <w:tc>
          <w:tcPr>
            <w:tcW w:w="6522" w:type="dxa"/>
            <w:gridSpan w:val="4"/>
          </w:tcPr>
          <w:p w14:paraId="40FE95C2" w14:textId="69199D4F" w:rsidR="00B04F6A" w:rsidRPr="00522CF6" w:rsidRDefault="00B04F6A" w:rsidP="00231BA7">
            <w:pPr>
              <w:pStyle w:val="TableBlockOutdent"/>
              <w:rPr>
                <w:rtl/>
              </w:rPr>
            </w:pPr>
            <w:r w:rsidRPr="00522CF6">
              <w:rPr>
                <w:rtl/>
              </w:rPr>
              <w:t>"נציבות שוויון</w:t>
            </w:r>
            <w:r w:rsidR="00231BA7">
              <w:rPr>
                <w:rFonts w:hint="cs"/>
                <w:rtl/>
              </w:rPr>
              <w:t xml:space="preserve"> זכויות לאנשים עם מוגבלות</w:t>
            </w:r>
            <w:r w:rsidRPr="00522CF6">
              <w:rPr>
                <w:rtl/>
              </w:rPr>
              <w:t>" –</w:t>
            </w:r>
            <w:r w:rsidR="00C955EF">
              <w:rPr>
                <w:rFonts w:hint="cs"/>
                <w:rtl/>
              </w:rPr>
              <w:t xml:space="preserve"> </w:t>
            </w:r>
            <w:r>
              <w:rPr>
                <w:rtl/>
              </w:rPr>
              <w:t>כמשמעותה בחוק שוויון</w:t>
            </w:r>
            <w:r w:rsidR="00231BA7">
              <w:rPr>
                <w:rFonts w:hint="cs"/>
                <w:rtl/>
              </w:rPr>
              <w:t xml:space="preserve"> זכויות לאנשים עם מוגבלות</w:t>
            </w:r>
            <w:r>
              <w:rPr>
                <w:rtl/>
              </w:rPr>
              <w:t>."</w:t>
            </w:r>
          </w:p>
        </w:tc>
      </w:tr>
      <w:tr w:rsidR="00B04F6A" w14:paraId="6F41590B" w14:textId="77777777" w:rsidTr="002E0177">
        <w:trPr>
          <w:cantSplit/>
          <w:trHeight w:val="60"/>
        </w:trPr>
        <w:tc>
          <w:tcPr>
            <w:tcW w:w="1871" w:type="dxa"/>
          </w:tcPr>
          <w:p w14:paraId="57C15F4C" w14:textId="77777777" w:rsidR="00B04F6A" w:rsidRDefault="00B04F6A" w:rsidP="002E0177">
            <w:pPr>
              <w:pStyle w:val="TableSideHeading"/>
              <w:keepLines w:val="0"/>
            </w:pPr>
            <w:r>
              <w:rPr>
                <w:rtl/>
              </w:rPr>
              <w:t>תיקון סעיף 3</w:t>
            </w:r>
          </w:p>
        </w:tc>
        <w:tc>
          <w:tcPr>
            <w:tcW w:w="624" w:type="dxa"/>
          </w:tcPr>
          <w:p w14:paraId="3071CB04" w14:textId="77777777" w:rsidR="00B04F6A" w:rsidRDefault="00B04F6A" w:rsidP="002E0177">
            <w:pPr>
              <w:pStyle w:val="TableText"/>
              <w:keepLines w:val="0"/>
            </w:pPr>
            <w:r>
              <w:rPr>
                <w:rtl/>
              </w:rPr>
              <w:t>2.</w:t>
            </w:r>
          </w:p>
        </w:tc>
        <w:tc>
          <w:tcPr>
            <w:tcW w:w="7146" w:type="dxa"/>
            <w:gridSpan w:val="5"/>
          </w:tcPr>
          <w:p w14:paraId="18863238" w14:textId="77777777" w:rsidR="00B04F6A" w:rsidRPr="00C34DE2" w:rsidRDefault="00B04F6A" w:rsidP="002E0177">
            <w:pPr>
              <w:pStyle w:val="TableBlock"/>
              <w:keepLines w:val="0"/>
            </w:pPr>
            <w:r>
              <w:rPr>
                <w:rtl/>
              </w:rPr>
              <w:t>בסעיף 3 לחוק העיקרי, אחרי סעיף קטן (ב) יבוא:</w:t>
            </w:r>
          </w:p>
        </w:tc>
      </w:tr>
      <w:tr w:rsidR="00B04F6A" w14:paraId="101B5589" w14:textId="77777777" w:rsidTr="002E0177">
        <w:trPr>
          <w:cantSplit/>
          <w:trHeight w:val="60"/>
        </w:trPr>
        <w:tc>
          <w:tcPr>
            <w:tcW w:w="1871" w:type="dxa"/>
          </w:tcPr>
          <w:p w14:paraId="3901FEDF" w14:textId="77777777" w:rsidR="00B04F6A" w:rsidRDefault="00B04F6A" w:rsidP="002E0177">
            <w:pPr>
              <w:pStyle w:val="TableSideHeading"/>
            </w:pPr>
          </w:p>
        </w:tc>
        <w:tc>
          <w:tcPr>
            <w:tcW w:w="624" w:type="dxa"/>
          </w:tcPr>
          <w:p w14:paraId="1C9B7EDD" w14:textId="77777777" w:rsidR="00B04F6A" w:rsidRDefault="00B04F6A" w:rsidP="002E0177">
            <w:pPr>
              <w:pStyle w:val="TableText"/>
            </w:pPr>
          </w:p>
        </w:tc>
        <w:tc>
          <w:tcPr>
            <w:tcW w:w="7146" w:type="dxa"/>
            <w:gridSpan w:val="5"/>
          </w:tcPr>
          <w:p w14:paraId="145EB390" w14:textId="77777777" w:rsidR="00B04F6A" w:rsidRDefault="00B04F6A" w:rsidP="002E0177">
            <w:pPr>
              <w:pStyle w:val="TableBlock"/>
            </w:pPr>
            <w:r>
              <w:rPr>
                <w:rtl/>
              </w:rPr>
              <w:t>"(ג)</w:t>
            </w:r>
            <w:r>
              <w:rPr>
                <w:rtl/>
              </w:rPr>
              <w:tab/>
              <w:t>הוראות סעיפים קטנים (א) ו-(ב) יחולו גם לגבי אומן לכלב נחייה ולגבי מדריך כלבי נחייה, המוביל כלב בתהליך הכשרה, ובלבד שהתקיימו כל אלה:</w:t>
            </w:r>
          </w:p>
        </w:tc>
      </w:tr>
      <w:tr w:rsidR="00B04F6A" w14:paraId="1FBFC398" w14:textId="77777777" w:rsidTr="002E0177">
        <w:trPr>
          <w:cantSplit/>
          <w:trHeight w:val="60"/>
        </w:trPr>
        <w:tc>
          <w:tcPr>
            <w:tcW w:w="1871" w:type="dxa"/>
          </w:tcPr>
          <w:p w14:paraId="03AD216B" w14:textId="77777777" w:rsidR="00B04F6A" w:rsidRDefault="00B04F6A" w:rsidP="002E0177">
            <w:pPr>
              <w:pStyle w:val="TableSideHeading"/>
            </w:pPr>
          </w:p>
        </w:tc>
        <w:tc>
          <w:tcPr>
            <w:tcW w:w="624" w:type="dxa"/>
          </w:tcPr>
          <w:p w14:paraId="23E7C5A3" w14:textId="77777777" w:rsidR="00B04F6A" w:rsidRDefault="00B04F6A" w:rsidP="002E0177">
            <w:pPr>
              <w:pStyle w:val="TableText"/>
            </w:pPr>
          </w:p>
        </w:tc>
        <w:tc>
          <w:tcPr>
            <w:tcW w:w="624" w:type="dxa"/>
          </w:tcPr>
          <w:p w14:paraId="0D95C7CC" w14:textId="77777777" w:rsidR="00B04F6A" w:rsidRDefault="00B04F6A" w:rsidP="002E0177">
            <w:pPr>
              <w:pStyle w:val="TableText"/>
            </w:pPr>
          </w:p>
        </w:tc>
        <w:tc>
          <w:tcPr>
            <w:tcW w:w="6522" w:type="dxa"/>
            <w:gridSpan w:val="4"/>
          </w:tcPr>
          <w:p w14:paraId="461E9ED2" w14:textId="77777777" w:rsidR="00B04F6A" w:rsidRPr="00284751" w:rsidRDefault="00B04F6A" w:rsidP="002E0177">
            <w:pPr>
              <w:pStyle w:val="TableBlock"/>
            </w:pPr>
            <w:r>
              <w:rPr>
                <w:rtl/>
              </w:rPr>
              <w:t>(1)</w:t>
            </w:r>
            <w:r>
              <w:rPr>
                <w:rtl/>
              </w:rPr>
              <w:tab/>
            </w:r>
            <w:r w:rsidRPr="00284751">
              <w:rPr>
                <w:rtl/>
              </w:rPr>
              <w:t>ברשותו תעודה המעידה על תפקידו מאת מרכז הדרכה לכלבי נחייה;</w:t>
            </w:r>
          </w:p>
        </w:tc>
      </w:tr>
      <w:tr w:rsidR="00B04F6A" w14:paraId="599DA43D" w14:textId="77777777" w:rsidTr="002E0177">
        <w:trPr>
          <w:cantSplit/>
          <w:trHeight w:val="60"/>
        </w:trPr>
        <w:tc>
          <w:tcPr>
            <w:tcW w:w="1871" w:type="dxa"/>
          </w:tcPr>
          <w:p w14:paraId="1ABF67E0" w14:textId="77777777" w:rsidR="00B04F6A" w:rsidRDefault="00B04F6A" w:rsidP="002E0177">
            <w:pPr>
              <w:pStyle w:val="TableSideHeading"/>
            </w:pPr>
          </w:p>
        </w:tc>
        <w:tc>
          <w:tcPr>
            <w:tcW w:w="624" w:type="dxa"/>
          </w:tcPr>
          <w:p w14:paraId="3C00C50E" w14:textId="77777777" w:rsidR="00B04F6A" w:rsidRDefault="00B04F6A" w:rsidP="002E0177">
            <w:pPr>
              <w:pStyle w:val="TableText"/>
            </w:pPr>
          </w:p>
        </w:tc>
        <w:tc>
          <w:tcPr>
            <w:tcW w:w="624" w:type="dxa"/>
          </w:tcPr>
          <w:p w14:paraId="04948B46" w14:textId="77777777" w:rsidR="00B04F6A" w:rsidRDefault="00B04F6A" w:rsidP="002E0177">
            <w:pPr>
              <w:pStyle w:val="TableText"/>
            </w:pPr>
          </w:p>
        </w:tc>
        <w:tc>
          <w:tcPr>
            <w:tcW w:w="6522" w:type="dxa"/>
            <w:gridSpan w:val="4"/>
          </w:tcPr>
          <w:p w14:paraId="51AFA018" w14:textId="77777777" w:rsidR="00B04F6A" w:rsidRPr="00284751" w:rsidRDefault="00B04F6A" w:rsidP="002E0177">
            <w:pPr>
              <w:pStyle w:val="TableBlock"/>
              <w:rPr>
                <w:rtl/>
              </w:rPr>
            </w:pPr>
            <w:r>
              <w:rPr>
                <w:rtl/>
              </w:rPr>
              <w:t>(2)</w:t>
            </w:r>
            <w:r>
              <w:rPr>
                <w:rtl/>
              </w:rPr>
              <w:tab/>
            </w:r>
            <w:r w:rsidRPr="00284751">
              <w:rPr>
                <w:rtl/>
              </w:rPr>
              <w:t>כלב הנחייה</w:t>
            </w:r>
            <w:r>
              <w:rPr>
                <w:rtl/>
              </w:rPr>
              <w:t xml:space="preserve"> מסומן</w:t>
            </w:r>
            <w:r w:rsidRPr="00284751">
              <w:rPr>
                <w:rtl/>
              </w:rPr>
              <w:t xml:space="preserve"> בהתאם לכללים שיקבע שר</w:t>
            </w:r>
            <w:r>
              <w:rPr>
                <w:rtl/>
              </w:rPr>
              <w:t xml:space="preserve"> הרווחה והשירותים החברתיים</w:t>
            </w:r>
            <w:r w:rsidRPr="00284751">
              <w:rPr>
                <w:rtl/>
              </w:rPr>
              <w:t>."</w:t>
            </w:r>
          </w:p>
        </w:tc>
      </w:tr>
      <w:tr w:rsidR="00B04F6A" w:rsidRPr="00C1181E" w14:paraId="4D970987" w14:textId="77777777" w:rsidTr="002E0177">
        <w:trPr>
          <w:cantSplit/>
          <w:trHeight w:val="60"/>
        </w:trPr>
        <w:tc>
          <w:tcPr>
            <w:tcW w:w="1871" w:type="dxa"/>
          </w:tcPr>
          <w:p w14:paraId="0FB2AB1A" w14:textId="75ED68CB" w:rsidR="00B04F6A" w:rsidRPr="00284751" w:rsidRDefault="00B04F6A" w:rsidP="002E0177">
            <w:pPr>
              <w:pStyle w:val="TableSideHeading"/>
              <w:ind w:right="0"/>
            </w:pPr>
            <w:r w:rsidRPr="00284751">
              <w:rPr>
                <w:rtl/>
              </w:rPr>
              <w:t>הוספת סעיף 3א</w:t>
            </w:r>
          </w:p>
        </w:tc>
        <w:tc>
          <w:tcPr>
            <w:tcW w:w="624" w:type="dxa"/>
          </w:tcPr>
          <w:p w14:paraId="545AD059" w14:textId="77777777" w:rsidR="00B04F6A" w:rsidRPr="00284751" w:rsidRDefault="00B04F6A" w:rsidP="002E0177">
            <w:pPr>
              <w:pStyle w:val="TableText"/>
              <w:ind w:right="0"/>
              <w:jc w:val="both"/>
            </w:pPr>
            <w:r w:rsidRPr="00284751">
              <w:rPr>
                <w:rtl/>
              </w:rPr>
              <w:t>3.</w:t>
            </w:r>
          </w:p>
        </w:tc>
        <w:tc>
          <w:tcPr>
            <w:tcW w:w="7146" w:type="dxa"/>
            <w:gridSpan w:val="5"/>
          </w:tcPr>
          <w:p w14:paraId="3AF7C03F" w14:textId="77777777" w:rsidR="00B04F6A" w:rsidRPr="00284751" w:rsidRDefault="00B04F6A" w:rsidP="002E0177">
            <w:pPr>
              <w:pStyle w:val="TableBlock"/>
            </w:pPr>
            <w:r w:rsidRPr="00284751">
              <w:rPr>
                <w:rtl/>
              </w:rPr>
              <w:t>אחר</w:t>
            </w:r>
            <w:r>
              <w:rPr>
                <w:rtl/>
              </w:rPr>
              <w:t>י</w:t>
            </w:r>
            <w:r w:rsidRPr="00284751">
              <w:rPr>
                <w:rtl/>
              </w:rPr>
              <w:t xml:space="preserve"> סעיף 3 </w:t>
            </w:r>
            <w:r>
              <w:rPr>
                <w:rtl/>
              </w:rPr>
              <w:t xml:space="preserve">לחוק העיקרי </w:t>
            </w:r>
            <w:r w:rsidRPr="00284751">
              <w:rPr>
                <w:rtl/>
              </w:rPr>
              <w:t>יבוא</w:t>
            </w:r>
            <w:r>
              <w:rPr>
                <w:rtl/>
              </w:rPr>
              <w:t>:</w:t>
            </w:r>
          </w:p>
        </w:tc>
      </w:tr>
      <w:tr w:rsidR="00B04F6A" w14:paraId="1512AA50" w14:textId="32820EAF" w:rsidTr="002E0177">
        <w:trPr>
          <w:cantSplit/>
          <w:trHeight w:val="60"/>
        </w:trPr>
        <w:tc>
          <w:tcPr>
            <w:tcW w:w="1871" w:type="dxa"/>
          </w:tcPr>
          <w:p w14:paraId="36555550" w14:textId="7535B7CD" w:rsidR="00B04F6A" w:rsidRDefault="00B04F6A" w:rsidP="002E0177">
            <w:pPr>
              <w:pStyle w:val="TableSideHeading"/>
            </w:pPr>
          </w:p>
        </w:tc>
        <w:tc>
          <w:tcPr>
            <w:tcW w:w="624" w:type="dxa"/>
          </w:tcPr>
          <w:p w14:paraId="02B6ACAB" w14:textId="28D91A47" w:rsidR="00B04F6A" w:rsidRDefault="00B04F6A" w:rsidP="002E0177">
            <w:pPr>
              <w:pStyle w:val="TableText"/>
            </w:pPr>
          </w:p>
        </w:tc>
        <w:tc>
          <w:tcPr>
            <w:tcW w:w="1872" w:type="dxa"/>
            <w:gridSpan w:val="3"/>
          </w:tcPr>
          <w:p w14:paraId="350ABDFD" w14:textId="210BEB1F" w:rsidR="00B04F6A" w:rsidRPr="00284751" w:rsidRDefault="00B04F6A" w:rsidP="008718EA">
            <w:pPr>
              <w:pStyle w:val="TableInnerSideHeading"/>
              <w:ind w:right="0"/>
            </w:pPr>
            <w:r w:rsidRPr="00284751">
              <w:rPr>
                <w:rtl/>
              </w:rPr>
              <w:t>"</w:t>
            </w:r>
            <w:r w:rsidR="00C87E57">
              <w:rPr>
                <w:rFonts w:hint="cs"/>
                <w:rtl/>
              </w:rPr>
              <w:t>תביעה אזרחית</w:t>
            </w:r>
          </w:p>
        </w:tc>
        <w:tc>
          <w:tcPr>
            <w:tcW w:w="624" w:type="dxa"/>
          </w:tcPr>
          <w:p w14:paraId="782770A5" w14:textId="5D8F3EE1" w:rsidR="00B04F6A" w:rsidRPr="00284751" w:rsidRDefault="00B04F6A" w:rsidP="002E0177">
            <w:pPr>
              <w:pStyle w:val="TableText"/>
              <w:ind w:right="0"/>
              <w:jc w:val="both"/>
            </w:pPr>
            <w:r w:rsidRPr="00284751">
              <w:rPr>
                <w:rtl/>
              </w:rPr>
              <w:t>3א.</w:t>
            </w:r>
          </w:p>
        </w:tc>
        <w:tc>
          <w:tcPr>
            <w:tcW w:w="4650" w:type="dxa"/>
          </w:tcPr>
          <w:p w14:paraId="1C1963B4" w14:textId="5DADD65B" w:rsidR="00B04F6A" w:rsidRPr="00284751" w:rsidRDefault="00B04F6A" w:rsidP="00C955EF">
            <w:pPr>
              <w:pStyle w:val="TableBlock"/>
            </w:pPr>
            <w:r w:rsidRPr="00284751">
              <w:rPr>
                <w:rtl/>
              </w:rPr>
              <w:t>(א)</w:t>
            </w:r>
            <w:r w:rsidRPr="00284751">
              <w:rPr>
                <w:rtl/>
              </w:rPr>
              <w:tab/>
            </w:r>
            <w:r w:rsidR="00E55E03">
              <w:rPr>
                <w:rFonts w:hint="cs"/>
                <w:rtl/>
              </w:rPr>
              <w:t>מעשה או מחדל בניגוד להוראות סעיף 3</w:t>
            </w:r>
            <w:r w:rsidR="00FB0C58">
              <w:rPr>
                <w:rFonts w:hint="cs"/>
                <w:rtl/>
              </w:rPr>
              <w:t xml:space="preserve">(א) ו-(ב) </w:t>
            </w:r>
            <w:r w:rsidR="00E55E03">
              <w:rPr>
                <w:rFonts w:hint="cs"/>
                <w:rtl/>
              </w:rPr>
              <w:t>הוא עוולה אזרחית, וה</w:t>
            </w:r>
            <w:r w:rsidR="00C955EF">
              <w:rPr>
                <w:rFonts w:hint="cs"/>
                <w:rtl/>
              </w:rPr>
              <w:t>ו</w:t>
            </w:r>
            <w:r w:rsidR="00E55E03">
              <w:rPr>
                <w:rFonts w:hint="cs"/>
                <w:rtl/>
              </w:rPr>
              <w:t xml:space="preserve">ראת פקודת </w:t>
            </w:r>
            <w:proofErr w:type="spellStart"/>
            <w:r w:rsidR="00E55E03">
              <w:rPr>
                <w:rFonts w:hint="cs"/>
                <w:rtl/>
              </w:rPr>
              <w:t>הנזיקין</w:t>
            </w:r>
            <w:proofErr w:type="spellEnd"/>
            <w:r w:rsidR="00C955EF">
              <w:rPr>
                <w:rFonts w:hint="cs"/>
                <w:rtl/>
              </w:rPr>
              <w:t xml:space="preserve"> [נוסח חדש]</w:t>
            </w:r>
            <w:r w:rsidR="00C955EF">
              <w:rPr>
                <w:rStyle w:val="a6"/>
                <w:rtl/>
              </w:rPr>
              <w:footnoteReference w:id="5"/>
            </w:r>
            <w:r w:rsidR="002D2881">
              <w:rPr>
                <w:rFonts w:hint="cs"/>
                <w:rtl/>
              </w:rPr>
              <w:t>,</w:t>
            </w:r>
            <w:r w:rsidR="00E55E03">
              <w:rPr>
                <w:rFonts w:hint="cs"/>
                <w:rtl/>
              </w:rPr>
              <w:t xml:space="preserve"> יחולו עליו. </w:t>
            </w:r>
          </w:p>
        </w:tc>
      </w:tr>
      <w:tr w:rsidR="00E55E03" w14:paraId="7211A809" w14:textId="77777777" w:rsidTr="002E0177">
        <w:trPr>
          <w:cantSplit/>
          <w:trHeight w:val="60"/>
        </w:trPr>
        <w:tc>
          <w:tcPr>
            <w:tcW w:w="1871" w:type="dxa"/>
          </w:tcPr>
          <w:p w14:paraId="54668C78" w14:textId="77777777" w:rsidR="00E55E03" w:rsidRDefault="00E55E03" w:rsidP="002E0177">
            <w:pPr>
              <w:pStyle w:val="TableSideHeading"/>
              <w:rPr>
                <w:rtl/>
              </w:rPr>
            </w:pPr>
          </w:p>
        </w:tc>
        <w:tc>
          <w:tcPr>
            <w:tcW w:w="624" w:type="dxa"/>
          </w:tcPr>
          <w:p w14:paraId="7D27C3DD" w14:textId="77777777" w:rsidR="00E55E03" w:rsidRDefault="00E55E03" w:rsidP="002E0177">
            <w:pPr>
              <w:pStyle w:val="TableText"/>
            </w:pPr>
          </w:p>
        </w:tc>
        <w:tc>
          <w:tcPr>
            <w:tcW w:w="1872" w:type="dxa"/>
            <w:gridSpan w:val="3"/>
          </w:tcPr>
          <w:p w14:paraId="7991E12E" w14:textId="77777777" w:rsidR="00E55E03" w:rsidRPr="00284751" w:rsidRDefault="00E55E03" w:rsidP="00C87E57">
            <w:pPr>
              <w:pStyle w:val="TableInnerSideHeading"/>
              <w:ind w:right="0"/>
              <w:rPr>
                <w:rtl/>
              </w:rPr>
            </w:pPr>
          </w:p>
        </w:tc>
        <w:tc>
          <w:tcPr>
            <w:tcW w:w="624" w:type="dxa"/>
          </w:tcPr>
          <w:p w14:paraId="6C789120" w14:textId="77777777" w:rsidR="00E55E03" w:rsidRPr="00284751" w:rsidRDefault="00E55E03" w:rsidP="002E0177">
            <w:pPr>
              <w:pStyle w:val="TableText"/>
              <w:ind w:right="0"/>
              <w:jc w:val="both"/>
              <w:rPr>
                <w:rtl/>
              </w:rPr>
            </w:pPr>
          </w:p>
        </w:tc>
        <w:tc>
          <w:tcPr>
            <w:tcW w:w="4650" w:type="dxa"/>
          </w:tcPr>
          <w:p w14:paraId="68647CB9" w14:textId="0A121076" w:rsidR="00E55E03" w:rsidRPr="00284751" w:rsidRDefault="00E55E03" w:rsidP="00FB0C58">
            <w:pPr>
              <w:pStyle w:val="TableBlock"/>
              <w:rPr>
                <w:rtl/>
              </w:rPr>
            </w:pPr>
            <w:r>
              <w:rPr>
                <w:rFonts w:hint="cs"/>
                <w:rtl/>
              </w:rPr>
              <w:t>(ב)</w:t>
            </w:r>
            <w:r>
              <w:rPr>
                <w:rtl/>
              </w:rPr>
              <w:tab/>
            </w:r>
            <w:r w:rsidRPr="00284751">
              <w:rPr>
                <w:rtl/>
              </w:rPr>
              <w:t xml:space="preserve">אדם עיוור, או נציבות שוויון </w:t>
            </w:r>
            <w:r>
              <w:rPr>
                <w:rFonts w:hint="cs"/>
                <w:rtl/>
              </w:rPr>
              <w:t xml:space="preserve">זכויות לאנשים עם מוגבלות </w:t>
            </w:r>
            <w:r w:rsidRPr="00284751">
              <w:rPr>
                <w:rtl/>
              </w:rPr>
              <w:t>בעניינו של אדם עיוור, רשאים להגיש תביעה אזרחית בשל הפרת הוראות סעי</w:t>
            </w:r>
            <w:r>
              <w:rPr>
                <w:rtl/>
              </w:rPr>
              <w:t>ף</w:t>
            </w:r>
            <w:r w:rsidRPr="00284751">
              <w:rPr>
                <w:rtl/>
              </w:rPr>
              <w:t xml:space="preserve"> 3(א)</w:t>
            </w:r>
            <w:r>
              <w:rPr>
                <w:rtl/>
              </w:rPr>
              <w:t xml:space="preserve"> ו</w:t>
            </w:r>
            <w:r w:rsidR="00FB0C58">
              <w:rPr>
                <w:rtl/>
              </w:rPr>
              <w:t>-(ב)</w:t>
            </w:r>
            <w:r w:rsidR="00FB0C58">
              <w:rPr>
                <w:rFonts w:hint="cs"/>
                <w:rtl/>
              </w:rPr>
              <w:t>;</w:t>
            </w:r>
            <w:r w:rsidRPr="00284751">
              <w:rPr>
                <w:rtl/>
              </w:rPr>
              <w:t xml:space="preserve"> על תביעה כאמור יחולו הוראות סעיפים 19נא(ב)(1), 19נא(ו)</w:t>
            </w:r>
            <w:r w:rsidR="002D2881">
              <w:rPr>
                <w:rFonts w:hint="cs"/>
                <w:rtl/>
              </w:rPr>
              <w:t>,</w:t>
            </w:r>
            <w:r w:rsidRPr="00284751">
              <w:rPr>
                <w:rtl/>
              </w:rPr>
              <w:t xml:space="preserve"> 19נב, 19נג </w:t>
            </w:r>
            <w:r>
              <w:rPr>
                <w:rtl/>
              </w:rPr>
              <w:t>ו-</w:t>
            </w:r>
            <w:r w:rsidRPr="00284751">
              <w:rPr>
                <w:rtl/>
              </w:rPr>
              <w:t>19סה ל</w:t>
            </w:r>
            <w:r w:rsidR="009B31D6" w:rsidRPr="003B5DE9">
              <w:rPr>
                <w:rtl/>
              </w:rPr>
              <w:t>חוק שוויון</w:t>
            </w:r>
            <w:r w:rsidR="009B31D6">
              <w:rPr>
                <w:rFonts w:hint="cs"/>
                <w:rtl/>
              </w:rPr>
              <w:t xml:space="preserve"> זכויות לאנשים עם מוגבלות</w:t>
            </w:r>
            <w:r w:rsidRPr="00284751">
              <w:rPr>
                <w:rtl/>
              </w:rPr>
              <w:t>.</w:t>
            </w:r>
          </w:p>
        </w:tc>
      </w:tr>
      <w:tr w:rsidR="00B04F6A" w14:paraId="4317F635" w14:textId="44EE4A7D" w:rsidTr="002E0177">
        <w:trPr>
          <w:cantSplit/>
          <w:trHeight w:val="60"/>
        </w:trPr>
        <w:tc>
          <w:tcPr>
            <w:tcW w:w="1871" w:type="dxa"/>
          </w:tcPr>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E55E03" w14:paraId="34D3B9F1" w14:textId="77777777">
              <w:trPr>
                <w:cantSplit/>
                <w:trHeight w:val="60"/>
              </w:trPr>
              <w:tc>
                <w:tcPr>
                  <w:tcW w:w="1871" w:type="dxa"/>
                </w:tcPr>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E55E03" w14:paraId="2F0319E9" w14:textId="77777777">
                    <w:trPr>
                      <w:cantSplit/>
                      <w:trHeight w:val="60"/>
                    </w:trPr>
                    <w:tc>
                      <w:tcPr>
                        <w:tcW w:w="1871" w:type="dxa"/>
                      </w:tcPr>
                      <w:p w14:paraId="399110D1" w14:textId="447CB7A1" w:rsidR="00E55E03" w:rsidRDefault="00E55E03">
                        <w:pPr>
                          <w:pStyle w:val="TableSideHeading"/>
                        </w:pPr>
                      </w:p>
                    </w:tc>
                    <w:tc>
                      <w:tcPr>
                        <w:tcW w:w="624" w:type="dxa"/>
                      </w:tcPr>
                      <w:p w14:paraId="0D3EF998" w14:textId="77777777" w:rsidR="00E55E03" w:rsidRDefault="00E55E03">
                        <w:pPr>
                          <w:pStyle w:val="TableText"/>
                        </w:pPr>
                      </w:p>
                    </w:tc>
                    <w:tc>
                      <w:tcPr>
                        <w:tcW w:w="624" w:type="dxa"/>
                      </w:tcPr>
                      <w:p w14:paraId="43FA03A0" w14:textId="77777777" w:rsidR="00E55E03" w:rsidRDefault="00E55E03">
                        <w:pPr>
                          <w:pStyle w:val="TableText"/>
                        </w:pPr>
                      </w:p>
                    </w:tc>
                    <w:tc>
                      <w:tcPr>
                        <w:tcW w:w="624" w:type="dxa"/>
                      </w:tcPr>
                      <w:p w14:paraId="6969EEEF" w14:textId="77777777" w:rsidR="00E55E03" w:rsidRDefault="00E55E03">
                        <w:pPr>
                          <w:pStyle w:val="TableText"/>
                        </w:pPr>
                      </w:p>
                    </w:tc>
                    <w:tc>
                      <w:tcPr>
                        <w:tcW w:w="624" w:type="dxa"/>
                      </w:tcPr>
                      <w:p w14:paraId="2000308D" w14:textId="77777777" w:rsidR="00E55E03" w:rsidRDefault="00E55E03">
                        <w:pPr>
                          <w:pStyle w:val="TableText"/>
                        </w:pPr>
                      </w:p>
                    </w:tc>
                    <w:tc>
                      <w:tcPr>
                        <w:tcW w:w="624" w:type="dxa"/>
                      </w:tcPr>
                      <w:p w14:paraId="42535003" w14:textId="77777777" w:rsidR="00E55E03" w:rsidRDefault="00E55E03">
                        <w:pPr>
                          <w:pStyle w:val="TableText"/>
                        </w:pPr>
                      </w:p>
                    </w:tc>
                    <w:tc>
                      <w:tcPr>
                        <w:tcW w:w="4650" w:type="dxa"/>
                      </w:tcPr>
                      <w:p w14:paraId="1131652D" w14:textId="77777777" w:rsidR="00E55E03" w:rsidRDefault="00E55E03">
                        <w:pPr>
                          <w:pStyle w:val="TableBlock"/>
                        </w:pPr>
                      </w:p>
                    </w:tc>
                  </w:tr>
                </w:tbl>
                <w:p w14:paraId="1B8898BE" w14:textId="77777777" w:rsidR="00E55E03" w:rsidRDefault="00E55E03">
                  <w:pPr>
                    <w:pStyle w:val="TableSideHeading"/>
                  </w:pPr>
                </w:p>
              </w:tc>
              <w:tc>
                <w:tcPr>
                  <w:tcW w:w="624" w:type="dxa"/>
                </w:tcPr>
                <w:p w14:paraId="62586CBD" w14:textId="77777777" w:rsidR="00E55E03" w:rsidRDefault="00E55E03">
                  <w:pPr>
                    <w:pStyle w:val="TableText"/>
                  </w:pPr>
                </w:p>
              </w:tc>
              <w:tc>
                <w:tcPr>
                  <w:tcW w:w="624" w:type="dxa"/>
                </w:tcPr>
                <w:p w14:paraId="755085F1" w14:textId="77777777" w:rsidR="00E55E03" w:rsidRDefault="00E55E03">
                  <w:pPr>
                    <w:pStyle w:val="TableText"/>
                  </w:pPr>
                </w:p>
              </w:tc>
              <w:tc>
                <w:tcPr>
                  <w:tcW w:w="624" w:type="dxa"/>
                </w:tcPr>
                <w:p w14:paraId="2D2F7559" w14:textId="77777777" w:rsidR="00E55E03" w:rsidRDefault="00E55E03">
                  <w:pPr>
                    <w:pStyle w:val="TableText"/>
                  </w:pPr>
                </w:p>
              </w:tc>
              <w:tc>
                <w:tcPr>
                  <w:tcW w:w="624" w:type="dxa"/>
                </w:tcPr>
                <w:p w14:paraId="10B5A87C" w14:textId="77777777" w:rsidR="00E55E03" w:rsidRDefault="00E55E03">
                  <w:pPr>
                    <w:pStyle w:val="TableText"/>
                  </w:pPr>
                </w:p>
              </w:tc>
              <w:tc>
                <w:tcPr>
                  <w:tcW w:w="624" w:type="dxa"/>
                </w:tcPr>
                <w:p w14:paraId="240D45A9" w14:textId="77777777" w:rsidR="00E55E03" w:rsidRDefault="00E55E03">
                  <w:pPr>
                    <w:pStyle w:val="TableText"/>
                  </w:pPr>
                </w:p>
              </w:tc>
              <w:tc>
                <w:tcPr>
                  <w:tcW w:w="4650" w:type="dxa"/>
                </w:tcPr>
                <w:p w14:paraId="2C36291B" w14:textId="77777777" w:rsidR="00E55E03" w:rsidRDefault="00E55E03">
                  <w:pPr>
                    <w:pStyle w:val="TableBlock"/>
                  </w:pPr>
                </w:p>
              </w:tc>
            </w:tr>
          </w:tbl>
          <w:p w14:paraId="081C8234" w14:textId="427A10D6" w:rsidR="00B04F6A" w:rsidRDefault="00B04F6A" w:rsidP="002E0177">
            <w:pPr>
              <w:pStyle w:val="TableSideHeading"/>
            </w:pPr>
          </w:p>
        </w:tc>
        <w:tc>
          <w:tcPr>
            <w:tcW w:w="624" w:type="dxa"/>
          </w:tcPr>
          <w:p w14:paraId="48BBAEC6" w14:textId="5FE4C399" w:rsidR="00B04F6A" w:rsidRDefault="00B04F6A" w:rsidP="002E0177">
            <w:pPr>
              <w:pStyle w:val="TableText"/>
            </w:pPr>
          </w:p>
        </w:tc>
        <w:tc>
          <w:tcPr>
            <w:tcW w:w="1872" w:type="dxa"/>
            <w:gridSpan w:val="3"/>
          </w:tcPr>
          <w:p w14:paraId="632CD05F" w14:textId="6630A6F6" w:rsidR="00B04F6A" w:rsidRDefault="00B04F6A" w:rsidP="002E0177">
            <w:pPr>
              <w:pStyle w:val="TableText"/>
              <w:rPr>
                <w:rtl/>
              </w:rPr>
            </w:pPr>
          </w:p>
        </w:tc>
        <w:tc>
          <w:tcPr>
            <w:tcW w:w="624" w:type="dxa"/>
          </w:tcPr>
          <w:p w14:paraId="4942C2AC" w14:textId="73821829" w:rsidR="00B04F6A" w:rsidRDefault="00B04F6A" w:rsidP="002E0177">
            <w:pPr>
              <w:pStyle w:val="TableText"/>
              <w:rPr>
                <w:rtl/>
              </w:rPr>
            </w:pPr>
          </w:p>
        </w:tc>
        <w:tc>
          <w:tcPr>
            <w:tcW w:w="4650" w:type="dxa"/>
          </w:tcPr>
          <w:p w14:paraId="21332B7C" w14:textId="4E4631AA" w:rsidR="00B04F6A" w:rsidRPr="00284751" w:rsidRDefault="00B04F6A" w:rsidP="002D2881">
            <w:pPr>
              <w:pStyle w:val="TableBlock"/>
              <w:rPr>
                <w:rtl/>
              </w:rPr>
            </w:pPr>
            <w:r w:rsidRPr="00284751">
              <w:rPr>
                <w:rtl/>
              </w:rPr>
              <w:t>(</w:t>
            </w:r>
            <w:r w:rsidR="002D2881">
              <w:rPr>
                <w:rFonts w:hint="cs"/>
                <w:rtl/>
              </w:rPr>
              <w:t>ג</w:t>
            </w:r>
            <w:r w:rsidRPr="00284751">
              <w:rPr>
                <w:rtl/>
              </w:rPr>
              <w:t>)</w:t>
            </w:r>
            <w:r w:rsidRPr="00284751">
              <w:rPr>
                <w:rtl/>
              </w:rPr>
              <w:tab/>
              <w:t>נציבות שוויון</w:t>
            </w:r>
            <w:r w:rsidR="001F2B8B">
              <w:rPr>
                <w:rFonts w:hint="cs"/>
                <w:rtl/>
              </w:rPr>
              <w:t xml:space="preserve"> </w:t>
            </w:r>
            <w:r w:rsidR="00C87E57">
              <w:rPr>
                <w:rFonts w:hint="cs"/>
                <w:rtl/>
              </w:rPr>
              <w:t>זכויות</w:t>
            </w:r>
            <w:r w:rsidR="001F2B8B">
              <w:rPr>
                <w:rFonts w:hint="cs"/>
                <w:rtl/>
              </w:rPr>
              <w:t xml:space="preserve"> לאנשים עם מוגבלות</w:t>
            </w:r>
            <w:r w:rsidRPr="00284751">
              <w:rPr>
                <w:rtl/>
              </w:rPr>
              <w:t xml:space="preserve"> רשאית להגיש </w:t>
            </w:r>
            <w:r>
              <w:rPr>
                <w:rtl/>
              </w:rPr>
              <w:t>תובענה</w:t>
            </w:r>
            <w:r w:rsidRPr="00284751">
              <w:rPr>
                <w:rtl/>
              </w:rPr>
              <w:t xml:space="preserve"> </w:t>
            </w:r>
            <w:r>
              <w:rPr>
                <w:rtl/>
              </w:rPr>
              <w:t xml:space="preserve">לסעד של צו עשה או צו מניעה </w:t>
            </w:r>
            <w:r w:rsidR="00FB0C58">
              <w:rPr>
                <w:rtl/>
              </w:rPr>
              <w:t>בשל הפרת הוראת סעיף 3(ג)</w:t>
            </w:r>
            <w:r w:rsidRPr="00284751">
              <w:rPr>
                <w:rtl/>
              </w:rPr>
              <w:t xml:space="preserve">; על תביעה כאמור יחולו </w:t>
            </w:r>
            <w:r w:rsidR="002D2881">
              <w:rPr>
                <w:rtl/>
              </w:rPr>
              <w:t>הוראות סעי</w:t>
            </w:r>
            <w:r w:rsidR="002D2881">
              <w:rPr>
                <w:rFonts w:hint="cs"/>
                <w:rtl/>
              </w:rPr>
              <w:t>פים</w:t>
            </w:r>
            <w:r w:rsidRPr="00284751">
              <w:rPr>
                <w:rtl/>
              </w:rPr>
              <w:t xml:space="preserve"> 19נג</w:t>
            </w:r>
            <w:r>
              <w:rPr>
                <w:rtl/>
              </w:rPr>
              <w:t xml:space="preserve"> ו-</w:t>
            </w:r>
            <w:r w:rsidRPr="00284751">
              <w:rPr>
                <w:rtl/>
              </w:rPr>
              <w:t>19סה(א)</w:t>
            </w:r>
            <w:r>
              <w:rPr>
                <w:rtl/>
              </w:rPr>
              <w:t>,</w:t>
            </w:r>
            <w:r w:rsidRPr="00284751">
              <w:rPr>
                <w:rtl/>
              </w:rPr>
              <w:t xml:space="preserve"> למעט </w:t>
            </w:r>
            <w:r>
              <w:rPr>
                <w:rtl/>
              </w:rPr>
              <w:t xml:space="preserve">פסקה </w:t>
            </w:r>
            <w:r w:rsidRPr="00284751">
              <w:rPr>
                <w:rtl/>
              </w:rPr>
              <w:t>(1), לחוק שוויון</w:t>
            </w:r>
            <w:r w:rsidR="00E55E03">
              <w:rPr>
                <w:rFonts w:hint="cs"/>
                <w:rtl/>
              </w:rPr>
              <w:t xml:space="preserve"> זכויות לאנשים עם מוגבלות</w:t>
            </w:r>
            <w:r w:rsidRPr="00284751">
              <w:rPr>
                <w:rtl/>
              </w:rPr>
              <w:t>, בשינויים המחויבים."</w:t>
            </w:r>
          </w:p>
        </w:tc>
      </w:tr>
      <w:tr w:rsidR="00B04F6A" w:rsidRPr="00C1181E" w14:paraId="5BE4216B" w14:textId="71A20A00" w:rsidTr="002E0177">
        <w:trPr>
          <w:cantSplit/>
          <w:trHeight w:val="60"/>
        </w:trPr>
        <w:tc>
          <w:tcPr>
            <w:tcW w:w="1871" w:type="dxa"/>
          </w:tcPr>
          <w:p w14:paraId="094D3802" w14:textId="04442888" w:rsidR="00B04F6A" w:rsidRPr="00284751" w:rsidRDefault="00B04F6A" w:rsidP="002E0177">
            <w:pPr>
              <w:pStyle w:val="TableSideHeading"/>
              <w:ind w:right="0"/>
              <w:rPr>
                <w:rtl/>
              </w:rPr>
            </w:pPr>
            <w:r w:rsidRPr="00284751">
              <w:rPr>
                <w:rtl/>
              </w:rPr>
              <w:lastRenderedPageBreak/>
              <w:t>החלפת סעיף 4</w:t>
            </w:r>
          </w:p>
        </w:tc>
        <w:tc>
          <w:tcPr>
            <w:tcW w:w="624" w:type="dxa"/>
          </w:tcPr>
          <w:p w14:paraId="726A55A7" w14:textId="76394300" w:rsidR="00B04F6A" w:rsidRDefault="00B04F6A" w:rsidP="002E0177">
            <w:pPr>
              <w:pStyle w:val="TableText"/>
              <w:keepLines w:val="0"/>
            </w:pPr>
            <w:r>
              <w:rPr>
                <w:rtl/>
              </w:rPr>
              <w:t>4.</w:t>
            </w:r>
          </w:p>
        </w:tc>
        <w:tc>
          <w:tcPr>
            <w:tcW w:w="7146" w:type="dxa"/>
            <w:gridSpan w:val="5"/>
          </w:tcPr>
          <w:p w14:paraId="7464D8F5" w14:textId="591B7589" w:rsidR="00B04F6A" w:rsidRPr="00FF0C55" w:rsidRDefault="00B04F6A" w:rsidP="002E0177">
            <w:pPr>
              <w:pStyle w:val="TableBlock"/>
              <w:keepLines w:val="0"/>
              <w:rPr>
                <w:rtl/>
              </w:rPr>
            </w:pPr>
            <w:r>
              <w:rPr>
                <w:rtl/>
              </w:rPr>
              <w:t>במקום סעיף 4 לחוק העיקרי יבוא:</w:t>
            </w:r>
          </w:p>
        </w:tc>
      </w:tr>
      <w:tr w:rsidR="00B04F6A" w14:paraId="0DC244CD" w14:textId="07C7430C" w:rsidTr="002E0177">
        <w:trPr>
          <w:cantSplit/>
          <w:trHeight w:val="60"/>
        </w:trPr>
        <w:tc>
          <w:tcPr>
            <w:tcW w:w="1871" w:type="dxa"/>
          </w:tcPr>
          <w:p w14:paraId="59E2EDCC" w14:textId="70668C19" w:rsidR="00B04F6A" w:rsidRDefault="00B04F6A" w:rsidP="002E0177">
            <w:pPr>
              <w:pStyle w:val="TableSideHeading"/>
            </w:pPr>
          </w:p>
        </w:tc>
        <w:tc>
          <w:tcPr>
            <w:tcW w:w="624" w:type="dxa"/>
          </w:tcPr>
          <w:p w14:paraId="71C98279" w14:textId="29197CB7" w:rsidR="00B04F6A" w:rsidRDefault="00B04F6A" w:rsidP="002E0177">
            <w:pPr>
              <w:pStyle w:val="TableText"/>
            </w:pPr>
          </w:p>
        </w:tc>
        <w:tc>
          <w:tcPr>
            <w:tcW w:w="1872" w:type="dxa"/>
            <w:gridSpan w:val="3"/>
          </w:tcPr>
          <w:p w14:paraId="5A9F5437" w14:textId="3ACFE330" w:rsidR="00B04F6A" w:rsidRPr="00284751" w:rsidRDefault="00B04F6A" w:rsidP="002E0177">
            <w:pPr>
              <w:pStyle w:val="TableInnerSideHeading"/>
              <w:ind w:right="0"/>
            </w:pPr>
            <w:r w:rsidRPr="00284751">
              <w:rPr>
                <w:rtl/>
              </w:rPr>
              <w:t>"עונשין</w:t>
            </w:r>
          </w:p>
        </w:tc>
        <w:tc>
          <w:tcPr>
            <w:tcW w:w="624" w:type="dxa"/>
          </w:tcPr>
          <w:p w14:paraId="2D6EB05A" w14:textId="75BF8642" w:rsidR="00B04F6A" w:rsidRPr="00284751" w:rsidRDefault="00B04F6A" w:rsidP="002E0177">
            <w:pPr>
              <w:pStyle w:val="TableText"/>
              <w:ind w:right="0"/>
              <w:jc w:val="both"/>
            </w:pPr>
            <w:r w:rsidRPr="00284751">
              <w:rPr>
                <w:rtl/>
              </w:rPr>
              <w:t>4.</w:t>
            </w:r>
          </w:p>
        </w:tc>
        <w:tc>
          <w:tcPr>
            <w:tcW w:w="4650" w:type="dxa"/>
          </w:tcPr>
          <w:p w14:paraId="0A703587" w14:textId="33039DA3" w:rsidR="00B04F6A" w:rsidRPr="00284751" w:rsidRDefault="00B672C5" w:rsidP="00B672C5">
            <w:pPr>
              <w:pStyle w:val="TableBlock"/>
            </w:pPr>
            <w:r>
              <w:rPr>
                <w:rtl/>
              </w:rPr>
              <w:t>(א)</w:t>
            </w:r>
            <w:r>
              <w:rPr>
                <w:rtl/>
              </w:rPr>
              <w:tab/>
              <w:t>העובר על הוראה לפי סעיף 2, דינו – כפל הקנס הקבוע בסעיף 61(א)(1) לחוק העונשין.</w:t>
            </w:r>
          </w:p>
        </w:tc>
      </w:tr>
      <w:tr w:rsidR="00B672C5" w14:paraId="288C2E24" w14:textId="77777777">
        <w:trPr>
          <w:cantSplit/>
          <w:trHeight w:val="60"/>
        </w:trPr>
        <w:tc>
          <w:tcPr>
            <w:tcW w:w="1871" w:type="dxa"/>
          </w:tcPr>
          <w:p w14:paraId="41373DBE" w14:textId="77777777" w:rsidR="00B672C5" w:rsidRDefault="00B672C5">
            <w:pPr>
              <w:pStyle w:val="TableSideHeading"/>
            </w:pPr>
          </w:p>
        </w:tc>
        <w:tc>
          <w:tcPr>
            <w:tcW w:w="624" w:type="dxa"/>
          </w:tcPr>
          <w:p w14:paraId="7F487378" w14:textId="77777777" w:rsidR="00B672C5" w:rsidRDefault="00B672C5">
            <w:pPr>
              <w:pStyle w:val="TableText"/>
            </w:pPr>
          </w:p>
        </w:tc>
        <w:tc>
          <w:tcPr>
            <w:tcW w:w="624" w:type="dxa"/>
          </w:tcPr>
          <w:p w14:paraId="1982AD72" w14:textId="77777777" w:rsidR="00B672C5" w:rsidRDefault="00B672C5">
            <w:pPr>
              <w:pStyle w:val="TableText"/>
            </w:pPr>
          </w:p>
        </w:tc>
        <w:tc>
          <w:tcPr>
            <w:tcW w:w="624" w:type="dxa"/>
          </w:tcPr>
          <w:p w14:paraId="4544A2CA" w14:textId="77777777" w:rsidR="00B672C5" w:rsidRDefault="00B672C5">
            <w:pPr>
              <w:pStyle w:val="TableText"/>
            </w:pPr>
          </w:p>
        </w:tc>
        <w:tc>
          <w:tcPr>
            <w:tcW w:w="624" w:type="dxa"/>
          </w:tcPr>
          <w:p w14:paraId="7525F7F2" w14:textId="77777777" w:rsidR="00B672C5" w:rsidRDefault="00B672C5">
            <w:pPr>
              <w:pStyle w:val="TableText"/>
            </w:pPr>
          </w:p>
        </w:tc>
        <w:tc>
          <w:tcPr>
            <w:tcW w:w="624" w:type="dxa"/>
          </w:tcPr>
          <w:p w14:paraId="4CA5F394" w14:textId="77777777" w:rsidR="00B672C5" w:rsidRDefault="00B672C5">
            <w:pPr>
              <w:pStyle w:val="TableText"/>
            </w:pPr>
          </w:p>
        </w:tc>
        <w:tc>
          <w:tcPr>
            <w:tcW w:w="4650" w:type="dxa"/>
          </w:tcPr>
          <w:p w14:paraId="157E4790" w14:textId="77588F25" w:rsidR="00B672C5" w:rsidRDefault="008718EA">
            <w:pPr>
              <w:pStyle w:val="TableBlock"/>
            </w:pPr>
            <w:r>
              <w:rPr>
                <w:rFonts w:hint="cs"/>
                <w:rtl/>
              </w:rPr>
              <w:t>(ב)</w:t>
            </w:r>
            <w:r>
              <w:rPr>
                <w:rFonts w:hint="cs"/>
                <w:rtl/>
              </w:rPr>
              <w:tab/>
              <w:t>העובר על הוראה לפי סעיף 3(א) או (ב), דינו – כפל הקנס האמור בסעיף 61(א)(3) לחוק העונשין."</w:t>
            </w:r>
          </w:p>
        </w:tc>
      </w:tr>
      <w:tr w:rsidR="00B672C5" w14:paraId="64D6007F" w14:textId="77777777">
        <w:trPr>
          <w:cantSplit/>
          <w:trHeight w:val="60"/>
        </w:trPr>
        <w:tc>
          <w:tcPr>
            <w:tcW w:w="1871" w:type="dxa"/>
          </w:tcPr>
          <w:p w14:paraId="732F51D5" w14:textId="77777777" w:rsidR="00B672C5" w:rsidRDefault="00B672C5">
            <w:pPr>
              <w:pStyle w:val="TableSideHeading"/>
              <w:rPr>
                <w:rtl/>
              </w:rPr>
            </w:pPr>
          </w:p>
        </w:tc>
        <w:tc>
          <w:tcPr>
            <w:tcW w:w="624" w:type="dxa"/>
          </w:tcPr>
          <w:p w14:paraId="796344CC" w14:textId="77777777" w:rsidR="00B672C5" w:rsidRDefault="00B672C5" w:rsidP="008718EA">
            <w:pPr>
              <w:pStyle w:val="TableText"/>
            </w:pPr>
          </w:p>
        </w:tc>
        <w:tc>
          <w:tcPr>
            <w:tcW w:w="624" w:type="dxa"/>
          </w:tcPr>
          <w:p w14:paraId="70534004" w14:textId="77777777" w:rsidR="00B672C5" w:rsidRDefault="00B672C5">
            <w:pPr>
              <w:pStyle w:val="TableText"/>
            </w:pPr>
          </w:p>
        </w:tc>
        <w:tc>
          <w:tcPr>
            <w:tcW w:w="624" w:type="dxa"/>
          </w:tcPr>
          <w:p w14:paraId="44CBC7AC" w14:textId="77777777" w:rsidR="00B672C5" w:rsidRDefault="00B672C5">
            <w:pPr>
              <w:pStyle w:val="TableText"/>
            </w:pPr>
          </w:p>
        </w:tc>
        <w:tc>
          <w:tcPr>
            <w:tcW w:w="624" w:type="dxa"/>
          </w:tcPr>
          <w:p w14:paraId="58B7F2D1" w14:textId="77777777" w:rsidR="00B672C5" w:rsidRDefault="00B672C5">
            <w:pPr>
              <w:pStyle w:val="TableText"/>
            </w:pPr>
          </w:p>
        </w:tc>
        <w:tc>
          <w:tcPr>
            <w:tcW w:w="624" w:type="dxa"/>
          </w:tcPr>
          <w:p w14:paraId="23EB13E5" w14:textId="77777777" w:rsidR="00B672C5" w:rsidRDefault="00B672C5">
            <w:pPr>
              <w:pStyle w:val="TableText"/>
            </w:pPr>
          </w:p>
        </w:tc>
        <w:tc>
          <w:tcPr>
            <w:tcW w:w="4650" w:type="dxa"/>
          </w:tcPr>
          <w:p w14:paraId="0C66F51D" w14:textId="759CE040" w:rsidR="00B672C5" w:rsidRDefault="008718EA">
            <w:pPr>
              <w:pStyle w:val="TableBlock"/>
              <w:rPr>
                <w:rtl/>
              </w:rPr>
            </w:pPr>
            <w:r>
              <w:rPr>
                <w:rFonts w:hint="cs"/>
                <w:rtl/>
              </w:rPr>
              <w:t>(ג)</w:t>
            </w:r>
            <w:r>
              <w:rPr>
                <w:rFonts w:hint="cs"/>
                <w:rtl/>
              </w:rPr>
              <w:tab/>
              <w:t>העובר על הוראה לפי סעיף 3(ג), דינו – קנס כאמור בסעיף 61(א)(1) לחוק העונשין."</w:t>
            </w:r>
          </w:p>
        </w:tc>
      </w:tr>
      <w:tr w:rsidR="00B63EE2" w14:paraId="377889B9" w14:textId="77777777" w:rsidTr="002E0177">
        <w:trPr>
          <w:cantSplit/>
          <w:trHeight w:val="60"/>
        </w:trPr>
        <w:tc>
          <w:tcPr>
            <w:tcW w:w="1871" w:type="dxa"/>
          </w:tcPr>
          <w:p w14:paraId="735A77CD" w14:textId="485B5BA0" w:rsidR="00B63EE2" w:rsidRPr="00284751" w:rsidRDefault="00B63EE2" w:rsidP="00B63EE2">
            <w:pPr>
              <w:pStyle w:val="TableSideHeading"/>
              <w:ind w:right="0"/>
            </w:pPr>
            <w:r w:rsidRPr="00284751">
              <w:rPr>
                <w:rtl/>
              </w:rPr>
              <w:t>הוספת סעיף 4א</w:t>
            </w:r>
          </w:p>
        </w:tc>
        <w:tc>
          <w:tcPr>
            <w:tcW w:w="624" w:type="dxa"/>
          </w:tcPr>
          <w:p w14:paraId="70B2DE78" w14:textId="77777777" w:rsidR="00B63EE2" w:rsidRPr="00284751" w:rsidRDefault="00B63EE2" w:rsidP="00B63EE2">
            <w:pPr>
              <w:pStyle w:val="TableText"/>
              <w:ind w:right="0"/>
              <w:jc w:val="both"/>
            </w:pPr>
            <w:r w:rsidRPr="00284751">
              <w:rPr>
                <w:rtl/>
              </w:rPr>
              <w:t>5.</w:t>
            </w:r>
          </w:p>
        </w:tc>
        <w:tc>
          <w:tcPr>
            <w:tcW w:w="7146" w:type="dxa"/>
            <w:gridSpan w:val="5"/>
          </w:tcPr>
          <w:p w14:paraId="190D8A1F" w14:textId="77777777" w:rsidR="00B63EE2" w:rsidRPr="00284751" w:rsidRDefault="00B63EE2" w:rsidP="00B63EE2">
            <w:pPr>
              <w:pStyle w:val="TableBlock"/>
            </w:pPr>
            <w:r w:rsidRPr="00284751">
              <w:rPr>
                <w:rtl/>
              </w:rPr>
              <w:t xml:space="preserve">אחרי סעיף 4 </w:t>
            </w:r>
            <w:r>
              <w:rPr>
                <w:rtl/>
              </w:rPr>
              <w:t xml:space="preserve">לחוק העיקרי </w:t>
            </w:r>
            <w:r w:rsidRPr="00284751">
              <w:rPr>
                <w:rtl/>
              </w:rPr>
              <w:t>יבוא</w:t>
            </w:r>
            <w:r>
              <w:rPr>
                <w:rtl/>
              </w:rPr>
              <w:t>:</w:t>
            </w:r>
          </w:p>
        </w:tc>
      </w:tr>
      <w:tr w:rsidR="00B63EE2" w14:paraId="02B7B399" w14:textId="77777777" w:rsidTr="002E0177">
        <w:trPr>
          <w:cantSplit/>
          <w:trHeight w:val="60"/>
        </w:trPr>
        <w:tc>
          <w:tcPr>
            <w:tcW w:w="1871" w:type="dxa"/>
          </w:tcPr>
          <w:p w14:paraId="26485C78" w14:textId="77777777" w:rsidR="00B63EE2" w:rsidRDefault="00B63EE2" w:rsidP="00B63EE2">
            <w:pPr>
              <w:pStyle w:val="TableSideHeading"/>
            </w:pPr>
          </w:p>
        </w:tc>
        <w:tc>
          <w:tcPr>
            <w:tcW w:w="624" w:type="dxa"/>
          </w:tcPr>
          <w:p w14:paraId="41102E67" w14:textId="77777777" w:rsidR="00B63EE2" w:rsidRDefault="00B63EE2" w:rsidP="00B63EE2">
            <w:pPr>
              <w:pStyle w:val="TableText"/>
            </w:pPr>
          </w:p>
        </w:tc>
        <w:tc>
          <w:tcPr>
            <w:tcW w:w="1872" w:type="dxa"/>
            <w:gridSpan w:val="3"/>
          </w:tcPr>
          <w:p w14:paraId="24D0F1D9" w14:textId="5610836B" w:rsidR="00B63EE2" w:rsidRPr="00284751" w:rsidRDefault="00B63EE2" w:rsidP="008718EA">
            <w:pPr>
              <w:pStyle w:val="TableInnerSideHeading"/>
              <w:ind w:right="0"/>
            </w:pPr>
            <w:r>
              <w:rPr>
                <w:rtl/>
              </w:rPr>
              <w:t>"</w:t>
            </w:r>
            <w:r w:rsidRPr="00284751">
              <w:rPr>
                <w:rtl/>
              </w:rPr>
              <w:t xml:space="preserve">החלת </w:t>
            </w:r>
            <w:r w:rsidR="009F0D06">
              <w:rPr>
                <w:rFonts w:hint="cs"/>
                <w:rtl/>
              </w:rPr>
              <w:t xml:space="preserve">הוראות </w:t>
            </w:r>
            <w:r w:rsidRPr="00284751">
              <w:rPr>
                <w:rtl/>
              </w:rPr>
              <w:t>מחוק שוויון</w:t>
            </w:r>
            <w:r w:rsidR="009F0D06">
              <w:rPr>
                <w:rFonts w:hint="cs"/>
                <w:rtl/>
              </w:rPr>
              <w:t xml:space="preserve"> זכויות לאנשים עם מוגבלות </w:t>
            </w:r>
          </w:p>
        </w:tc>
        <w:tc>
          <w:tcPr>
            <w:tcW w:w="624" w:type="dxa"/>
          </w:tcPr>
          <w:p w14:paraId="7EDACFCB" w14:textId="77777777" w:rsidR="00B63EE2" w:rsidRPr="00284751" w:rsidRDefault="00B63EE2" w:rsidP="00B63EE2">
            <w:pPr>
              <w:pStyle w:val="TableBlock"/>
            </w:pPr>
            <w:r w:rsidRPr="00284751">
              <w:rPr>
                <w:rtl/>
              </w:rPr>
              <w:t>4א.</w:t>
            </w:r>
          </w:p>
        </w:tc>
        <w:tc>
          <w:tcPr>
            <w:tcW w:w="4650" w:type="dxa"/>
          </w:tcPr>
          <w:p w14:paraId="2B62A744" w14:textId="717F73CE" w:rsidR="00B63EE2" w:rsidRPr="00284751" w:rsidRDefault="00B63EE2" w:rsidP="008718EA">
            <w:pPr>
              <w:pStyle w:val="TableBlock"/>
            </w:pPr>
            <w:r w:rsidRPr="00284751">
              <w:rPr>
                <w:rtl/>
              </w:rPr>
              <w:t>סעיפים 19מה</w:t>
            </w:r>
            <w:r w:rsidR="00FB0C58">
              <w:rPr>
                <w:rFonts w:hint="cs"/>
                <w:rtl/>
              </w:rPr>
              <w:t>,</w:t>
            </w:r>
            <w:r w:rsidRPr="00284751">
              <w:rPr>
                <w:rtl/>
              </w:rPr>
              <w:t xml:space="preserve"> </w:t>
            </w:r>
            <w:r w:rsidR="00FB0C58" w:rsidRPr="00284751">
              <w:rPr>
                <w:rtl/>
              </w:rPr>
              <w:t xml:space="preserve">19מח(ב) </w:t>
            </w:r>
            <w:r w:rsidRPr="00284751">
              <w:rPr>
                <w:rtl/>
              </w:rPr>
              <w:t xml:space="preserve">ו-19מט </w:t>
            </w:r>
            <w:r w:rsidR="009B31D6">
              <w:rPr>
                <w:rFonts w:hint="cs"/>
                <w:rtl/>
              </w:rPr>
              <w:t>ל</w:t>
            </w:r>
            <w:r w:rsidR="009B31D6" w:rsidRPr="003B5DE9">
              <w:rPr>
                <w:rtl/>
              </w:rPr>
              <w:t>חוק שוויון</w:t>
            </w:r>
            <w:r w:rsidR="009B31D6">
              <w:rPr>
                <w:rFonts w:hint="cs"/>
                <w:rtl/>
              </w:rPr>
              <w:t xml:space="preserve"> זכויות לאנשים עם מוגבלות</w:t>
            </w:r>
            <w:r w:rsidR="009B31D6" w:rsidRPr="00284751">
              <w:rPr>
                <w:rtl/>
              </w:rPr>
              <w:t xml:space="preserve"> </w:t>
            </w:r>
            <w:r w:rsidRPr="00284751">
              <w:rPr>
                <w:rtl/>
              </w:rPr>
              <w:t>יחולו על הפרת הוראות לפי סעיף 3</w:t>
            </w:r>
            <w:r>
              <w:rPr>
                <w:rtl/>
              </w:rPr>
              <w:t>,</w:t>
            </w:r>
            <w:r w:rsidRPr="00284751">
              <w:rPr>
                <w:rtl/>
              </w:rPr>
              <w:t xml:space="preserve"> בשינויים המחויבים.</w:t>
            </w:r>
            <w:r w:rsidR="00FB0C58">
              <w:rPr>
                <w:rFonts w:hint="cs"/>
                <w:rtl/>
              </w:rPr>
              <w:t>"</w:t>
            </w:r>
            <w:r w:rsidR="008718EA">
              <w:rPr>
                <w:rtl/>
              </w:rPr>
              <w:t xml:space="preserve"> </w:t>
            </w:r>
          </w:p>
        </w:tc>
      </w:tr>
    </w:tbl>
    <w:p w14:paraId="7F6961CA" w14:textId="77777777" w:rsidR="002D1EE3" w:rsidRDefault="002D1EE3" w:rsidP="002D1EE3">
      <w:pPr>
        <w:pStyle w:val="HeadDivreiHesber"/>
        <w:rPr>
          <w:rtl/>
        </w:rPr>
      </w:pPr>
      <w:r w:rsidRPr="0027450A">
        <w:rPr>
          <w:rFonts w:hint="cs"/>
          <w:rtl/>
        </w:rPr>
        <w:t>דברי הסבר</w:t>
      </w:r>
    </w:p>
    <w:p w14:paraId="778D9400" w14:textId="1651E1F1" w:rsidR="00B04F6A" w:rsidRPr="00284751" w:rsidRDefault="00B04F6A" w:rsidP="00B04F6A">
      <w:pPr>
        <w:pStyle w:val="Hesber"/>
        <w:rPr>
          <w:rtl/>
        </w:rPr>
      </w:pPr>
      <w:r w:rsidRPr="00284751">
        <w:rPr>
          <w:rtl/>
        </w:rPr>
        <w:t xml:space="preserve">חוק איסור הפליית עיוורים המלווים בכלבי נחייה, </w:t>
      </w:r>
      <w:proofErr w:type="spellStart"/>
      <w:r w:rsidRPr="00284751">
        <w:rPr>
          <w:rtl/>
        </w:rPr>
        <w:t>התשנ"ג</w:t>
      </w:r>
      <w:proofErr w:type="spellEnd"/>
      <w:r>
        <w:rPr>
          <w:rtl/>
        </w:rPr>
        <w:t>–</w:t>
      </w:r>
      <w:r w:rsidRPr="00284751">
        <w:rPr>
          <w:rtl/>
        </w:rPr>
        <w:t>1993 (להלן</w:t>
      </w:r>
      <w:r>
        <w:rPr>
          <w:rtl/>
        </w:rPr>
        <w:t>–</w:t>
      </w:r>
      <w:r w:rsidRPr="00284751">
        <w:rPr>
          <w:rtl/>
        </w:rPr>
        <w:t xml:space="preserve"> החוק)</w:t>
      </w:r>
      <w:r>
        <w:rPr>
          <w:rtl/>
        </w:rPr>
        <w:t>,</w:t>
      </w:r>
      <w:r w:rsidRPr="00284751">
        <w:rPr>
          <w:rtl/>
        </w:rPr>
        <w:t xml:space="preserve"> נחקק במטרה לאסור </w:t>
      </w:r>
      <w:r w:rsidR="00FB0C58">
        <w:rPr>
          <w:rFonts w:hint="cs"/>
          <w:rtl/>
        </w:rPr>
        <w:t xml:space="preserve">על </w:t>
      </w:r>
      <w:r w:rsidRPr="00284751">
        <w:rPr>
          <w:rtl/>
        </w:rPr>
        <w:t xml:space="preserve">הפלייתם של עיוורים המלווים בכלבי נחייה לצורך </w:t>
      </w:r>
      <w:r w:rsidR="00FB0C58">
        <w:rPr>
          <w:rFonts w:hint="cs"/>
          <w:rtl/>
        </w:rPr>
        <w:t xml:space="preserve">הקלת </w:t>
      </w:r>
      <w:r w:rsidRPr="00284751">
        <w:rPr>
          <w:rtl/>
        </w:rPr>
        <w:t>ניידותם</w:t>
      </w:r>
      <w:r w:rsidR="008718EA">
        <w:rPr>
          <w:rFonts w:hint="cs"/>
          <w:rtl/>
        </w:rPr>
        <w:t>,</w:t>
      </w:r>
      <w:r w:rsidRPr="00284751">
        <w:rPr>
          <w:rtl/>
        </w:rPr>
        <w:t xml:space="preserve"> בכניסה למקומות ציבוריים ושימוש במתקנים ציבוריים וכן בתחבורה ציבורית.</w:t>
      </w:r>
    </w:p>
    <w:p w14:paraId="0D73C75A" w14:textId="75EC3400" w:rsidR="00B04F6A" w:rsidRPr="00284751" w:rsidRDefault="00B04F6A" w:rsidP="00E65F0D">
      <w:pPr>
        <w:pStyle w:val="Hesber"/>
        <w:rPr>
          <w:rtl/>
        </w:rPr>
      </w:pPr>
      <w:r w:rsidRPr="00284751">
        <w:rPr>
          <w:rtl/>
        </w:rPr>
        <w:t xml:space="preserve">החוק </w:t>
      </w:r>
      <w:r w:rsidR="00E65F0D">
        <w:rPr>
          <w:rFonts w:hint="cs"/>
          <w:rtl/>
        </w:rPr>
        <w:t>ק</w:t>
      </w:r>
      <w:r w:rsidRPr="00284751">
        <w:rPr>
          <w:rtl/>
        </w:rPr>
        <w:t xml:space="preserve">ובע איסור הפלייה כאמור אך ורק לעיוור המלווה בכלב נחייה. </w:t>
      </w:r>
      <w:r w:rsidR="002D2881">
        <w:rPr>
          <w:rFonts w:hint="cs"/>
          <w:rtl/>
        </w:rPr>
        <w:t>ו</w:t>
      </w:r>
      <w:r w:rsidRPr="00284751">
        <w:rPr>
          <w:rtl/>
        </w:rPr>
        <w:t xml:space="preserve">אולם, </w:t>
      </w:r>
      <w:r w:rsidR="00E65F0D">
        <w:rPr>
          <w:rFonts w:hint="cs"/>
          <w:rtl/>
        </w:rPr>
        <w:t xml:space="preserve">יש לקבוע איסור מקביל גם </w:t>
      </w:r>
      <w:r w:rsidRPr="00284751">
        <w:rPr>
          <w:rtl/>
        </w:rPr>
        <w:t xml:space="preserve">לגבי אנשים המשמשים כאוֹמנים לכלבים ולגורי כלבים, </w:t>
      </w:r>
      <w:r w:rsidR="008718EA">
        <w:rPr>
          <w:rFonts w:hint="cs"/>
          <w:rtl/>
        </w:rPr>
        <w:t xml:space="preserve">שאותם הם מכשירים לשמש ככלבי נחייה </w:t>
      </w:r>
      <w:r w:rsidRPr="00284751">
        <w:rPr>
          <w:rtl/>
        </w:rPr>
        <w:t xml:space="preserve">במשך כשנה עד שנה וחצי. בתקופה זו לומדים הכלבים והגורים לחיות במסגרת משפחתית והם נחשפים למצבים שונים בהם ייתקלו בעת תפקידם ככלבי נחייה. </w:t>
      </w:r>
    </w:p>
    <w:p w14:paraId="2DB38B35" w14:textId="6EBAD5AC" w:rsidR="00B04F6A" w:rsidRPr="00284751" w:rsidRDefault="00B04F6A" w:rsidP="00920EE6">
      <w:pPr>
        <w:pStyle w:val="Hesber"/>
        <w:rPr>
          <w:rtl/>
        </w:rPr>
      </w:pPr>
      <w:r w:rsidRPr="00284751">
        <w:rPr>
          <w:rtl/>
        </w:rPr>
        <w:t>בתקופה זו, המשפחה האומנת נדרשת לבצע תהליך סוציאליזציה, הכולל הליכה עם הכ</w:t>
      </w:r>
      <w:r w:rsidR="00920EE6">
        <w:rPr>
          <w:rtl/>
        </w:rPr>
        <w:t>לב למקומות ציבוריים שונים כגון</w:t>
      </w:r>
      <w:r w:rsidR="00920EE6">
        <w:rPr>
          <w:rFonts w:hint="cs"/>
          <w:rtl/>
        </w:rPr>
        <w:t xml:space="preserve"> </w:t>
      </w:r>
      <w:r w:rsidRPr="00284751">
        <w:rPr>
          <w:rtl/>
        </w:rPr>
        <w:t xml:space="preserve">מרכזי קניות, מרכולים, מקומות בילוי </w:t>
      </w:r>
      <w:r w:rsidR="00920EE6">
        <w:rPr>
          <w:rFonts w:hint="cs"/>
          <w:rtl/>
        </w:rPr>
        <w:t>ו</w:t>
      </w:r>
      <w:r w:rsidRPr="00284751">
        <w:rPr>
          <w:rtl/>
        </w:rPr>
        <w:t xml:space="preserve">נסיעה בתחבורה ציבורית. </w:t>
      </w:r>
    </w:p>
    <w:p w14:paraId="2A604306" w14:textId="5CB179A6" w:rsidR="00B04F6A" w:rsidRPr="00284751" w:rsidRDefault="00B04F6A" w:rsidP="00920EE6">
      <w:pPr>
        <w:pStyle w:val="Hesber"/>
      </w:pPr>
      <w:r w:rsidRPr="00284751">
        <w:rPr>
          <w:rtl/>
        </w:rPr>
        <w:t>ככל שהכלבים והגורים ייחשפו ליותר גירויים ותהליך הסוציאליזציה יהיה יסודי יותר, יגברו סיכויי הצלחת תהליך האילוף והסיכויים שהכלב יוכל בסוף ה</w:t>
      </w:r>
      <w:r w:rsidR="00920EE6">
        <w:rPr>
          <w:rFonts w:hint="cs"/>
          <w:rtl/>
        </w:rPr>
        <w:t>ת</w:t>
      </w:r>
      <w:r w:rsidRPr="00284751">
        <w:rPr>
          <w:rtl/>
        </w:rPr>
        <w:t>הליך לבצע את תפקידו.</w:t>
      </w:r>
      <w:r w:rsidR="00920EE6">
        <w:rPr>
          <w:rFonts w:hint="cs"/>
          <w:rtl/>
        </w:rPr>
        <w:t xml:space="preserve"> כאשר </w:t>
      </w:r>
      <w:r w:rsidRPr="00284751">
        <w:rPr>
          <w:rtl/>
        </w:rPr>
        <w:t>ה</w:t>
      </w:r>
      <w:r w:rsidR="008718EA">
        <w:rPr>
          <w:rFonts w:hint="cs"/>
          <w:rtl/>
        </w:rPr>
        <w:t>כלב</w:t>
      </w:r>
      <w:r w:rsidRPr="00284751">
        <w:rPr>
          <w:rtl/>
        </w:rPr>
        <w:t xml:space="preserve"> לא ע</w:t>
      </w:r>
      <w:r w:rsidR="00920EE6">
        <w:rPr>
          <w:rFonts w:hint="cs"/>
          <w:rtl/>
        </w:rPr>
        <w:t>ו</w:t>
      </w:r>
      <w:r w:rsidRPr="00284751">
        <w:rPr>
          <w:rtl/>
        </w:rPr>
        <w:t xml:space="preserve">בר תהליך סוציאליזציה מספק בשנה הראשונה לחייו, </w:t>
      </w:r>
      <w:r w:rsidR="00920EE6">
        <w:rPr>
          <w:rFonts w:hint="cs"/>
          <w:rtl/>
        </w:rPr>
        <w:t xml:space="preserve">הוא לא יוכל להיות מוכשר </w:t>
      </w:r>
      <w:r w:rsidRPr="00284751">
        <w:rPr>
          <w:rtl/>
        </w:rPr>
        <w:t>לתפקוד ככלב נחייה.</w:t>
      </w:r>
    </w:p>
    <w:p w14:paraId="49F80EDA" w14:textId="19331F70" w:rsidR="00B04F6A" w:rsidRPr="00284751" w:rsidRDefault="00B04F6A" w:rsidP="000558F9">
      <w:pPr>
        <w:pStyle w:val="Hesber"/>
        <w:rPr>
          <w:rtl/>
        </w:rPr>
      </w:pPr>
      <w:r w:rsidRPr="00284751">
        <w:rPr>
          <w:rtl/>
        </w:rPr>
        <w:t xml:space="preserve">לאחר סיום תקופת הכשרה ראשונית זו במשפחה האומנת, עוברים הכלבים תהליך הכשרה אינטנסיבי על ידי מדריכים מוסמכים לכלבי נחייה. גם תהליך זה כולל את חשיפת הכלבים לגירויים ומצבים בהם ייתקלו במסגרת תפקידם ככלבי נחייה. לשם כך, יש צורך שגם מדריכים לכלבי נחייה ייכנסו עם כלבי הנחייה </w:t>
      </w:r>
      <w:r w:rsidR="008718EA">
        <w:rPr>
          <w:rFonts w:hint="cs"/>
          <w:rtl/>
        </w:rPr>
        <w:t>למרחבים ציבוריים.</w:t>
      </w:r>
    </w:p>
    <w:p w14:paraId="645D3AB7" w14:textId="41D8D492" w:rsidR="00B04F6A" w:rsidRPr="00284751" w:rsidRDefault="00B04F6A" w:rsidP="0026210C">
      <w:pPr>
        <w:pStyle w:val="Hesber"/>
        <w:rPr>
          <w:rtl/>
        </w:rPr>
      </w:pPr>
      <w:r w:rsidRPr="00284751">
        <w:rPr>
          <w:rtl/>
        </w:rPr>
        <w:t xml:space="preserve">מטרת </w:t>
      </w:r>
      <w:r>
        <w:rPr>
          <w:rtl/>
        </w:rPr>
        <w:t xml:space="preserve">הצעת החוק </w:t>
      </w:r>
      <w:r w:rsidRPr="00284751">
        <w:rPr>
          <w:rtl/>
        </w:rPr>
        <w:t>היא להסדיר את החובה לאפשר לאוֹמן לכלב נחייה ולמדריך כלבי נחייה, להיכנס למקומות ציבוריים ולהשתמש בתחבורה הציבורית, כפי ש</w:t>
      </w:r>
      <w:r w:rsidR="0026210C">
        <w:rPr>
          <w:rFonts w:hint="cs"/>
          <w:rtl/>
        </w:rPr>
        <w:t xml:space="preserve">קובע </w:t>
      </w:r>
      <w:r w:rsidRPr="00284751">
        <w:rPr>
          <w:rtl/>
        </w:rPr>
        <w:t>החוק</w:t>
      </w:r>
      <w:r w:rsidR="0026210C">
        <w:rPr>
          <w:rFonts w:hint="cs"/>
          <w:rtl/>
        </w:rPr>
        <w:t xml:space="preserve"> כיום</w:t>
      </w:r>
      <w:r w:rsidRPr="00284751">
        <w:rPr>
          <w:rtl/>
        </w:rPr>
        <w:t xml:space="preserve"> לגבי עיוורים.</w:t>
      </w:r>
      <w:r w:rsidR="008718EA">
        <w:rPr>
          <w:rFonts w:hint="cs"/>
          <w:rtl/>
        </w:rPr>
        <w:t xml:space="preserve"> לפיכך, מוצע </w:t>
      </w:r>
      <w:r w:rsidRPr="00284751">
        <w:rPr>
          <w:rtl/>
        </w:rPr>
        <w:t>לאפשר לאוֹמ</w:t>
      </w:r>
      <w:r w:rsidR="002D2881">
        <w:rPr>
          <w:rtl/>
        </w:rPr>
        <w:t>ן לכלב נחייה ולמדריך כלבי נחייה</w:t>
      </w:r>
      <w:r w:rsidRPr="00284751">
        <w:rPr>
          <w:rtl/>
        </w:rPr>
        <w:t xml:space="preserve"> להיכנס למקומות ציבוריים ולהשתמש בתחבורה הציבורית ב</w:t>
      </w:r>
      <w:r w:rsidR="0026210C">
        <w:rPr>
          <w:rFonts w:hint="cs"/>
          <w:rtl/>
        </w:rPr>
        <w:t>דומה להסדר שחל על</w:t>
      </w:r>
      <w:r w:rsidRPr="00284751">
        <w:rPr>
          <w:rtl/>
        </w:rPr>
        <w:t xml:space="preserve"> עיוורים. </w:t>
      </w:r>
    </w:p>
    <w:p w14:paraId="67A27098" w14:textId="01EA760B" w:rsidR="00B04F6A" w:rsidRPr="00284751" w:rsidRDefault="00B04F6A" w:rsidP="000558F9">
      <w:pPr>
        <w:pStyle w:val="Hesber"/>
        <w:rPr>
          <w:rtl/>
        </w:rPr>
      </w:pPr>
      <w:r>
        <w:rPr>
          <w:rtl/>
        </w:rPr>
        <w:lastRenderedPageBreak/>
        <w:t>כמו כן</w:t>
      </w:r>
      <w:r w:rsidRPr="00284751">
        <w:rPr>
          <w:rtl/>
        </w:rPr>
        <w:t>,</w:t>
      </w:r>
      <w:r w:rsidR="008718EA">
        <w:rPr>
          <w:rFonts w:hint="cs"/>
          <w:rtl/>
        </w:rPr>
        <w:t xml:space="preserve"> מוצע</w:t>
      </w:r>
      <w:r w:rsidRPr="00284751">
        <w:rPr>
          <w:rtl/>
        </w:rPr>
        <w:t xml:space="preserve"> לאפשר הגשת תביעה אזרחית בגין הפרת </w:t>
      </w:r>
      <w:r>
        <w:rPr>
          <w:rtl/>
        </w:rPr>
        <w:t>הורא</w:t>
      </w:r>
      <w:r w:rsidR="002D2881">
        <w:rPr>
          <w:rtl/>
        </w:rPr>
        <w:t xml:space="preserve">ות החוק, </w:t>
      </w:r>
      <w:r w:rsidR="0026210C">
        <w:rPr>
          <w:rtl/>
        </w:rPr>
        <w:t>אולם</w:t>
      </w:r>
      <w:r w:rsidR="002D2881">
        <w:rPr>
          <w:rFonts w:hint="cs"/>
          <w:rtl/>
        </w:rPr>
        <w:t>,</w:t>
      </w:r>
      <w:r w:rsidR="0026210C">
        <w:rPr>
          <w:rtl/>
        </w:rPr>
        <w:t xml:space="preserve"> תביעה אזרחית על </w:t>
      </w:r>
      <w:r>
        <w:rPr>
          <w:rtl/>
        </w:rPr>
        <w:t>הפרה כלפי אומן לכלב נחייה או מדריך כלבי נחייה תוגש רק בידי נציבות שוויון זכויות לאנשים עם מוגבלות</w:t>
      </w:r>
      <w:r w:rsidRPr="00284751">
        <w:rPr>
          <w:rtl/>
        </w:rPr>
        <w:t>.</w:t>
      </w:r>
    </w:p>
    <w:p w14:paraId="5DC6698F" w14:textId="3E7FF61A" w:rsidR="00B04F6A" w:rsidRDefault="008718EA" w:rsidP="000558F9">
      <w:pPr>
        <w:pStyle w:val="Hesber"/>
        <w:rPr>
          <w:rtl/>
        </w:rPr>
      </w:pPr>
      <w:r>
        <w:rPr>
          <w:rFonts w:hint="cs"/>
          <w:rtl/>
        </w:rPr>
        <w:t xml:space="preserve">עוד מוצע </w:t>
      </w:r>
      <w:r w:rsidR="00B04F6A" w:rsidRPr="00284751">
        <w:rPr>
          <w:rtl/>
        </w:rPr>
        <w:t xml:space="preserve"> לתקן את ההוראה </w:t>
      </w:r>
      <w:proofErr w:type="spellStart"/>
      <w:r w:rsidR="00B04F6A" w:rsidRPr="00284751">
        <w:rPr>
          <w:rtl/>
        </w:rPr>
        <w:t>העונשית</w:t>
      </w:r>
      <w:proofErr w:type="spellEnd"/>
      <w:r w:rsidR="00B04F6A" w:rsidRPr="00284751">
        <w:rPr>
          <w:rtl/>
        </w:rPr>
        <w:t xml:space="preserve"> הקיימת בחוק ולהגדיר את הקנסות שיוטלו על העובר על הוראות החוק, וכן להחיל הוראות שונות מחוק שוויון זכויות לאנשים עם מוגבלות, </w:t>
      </w:r>
      <w:proofErr w:type="spellStart"/>
      <w:r w:rsidR="00B04F6A" w:rsidRPr="00284751">
        <w:rPr>
          <w:rtl/>
        </w:rPr>
        <w:t>התשנ"ח</w:t>
      </w:r>
      <w:proofErr w:type="spellEnd"/>
      <w:r w:rsidR="00B04F6A">
        <w:rPr>
          <w:rtl/>
        </w:rPr>
        <w:t>–</w:t>
      </w:r>
      <w:r w:rsidR="00B04F6A" w:rsidRPr="00284751">
        <w:rPr>
          <w:rtl/>
        </w:rPr>
        <w:t>1998</w:t>
      </w:r>
      <w:r w:rsidR="0026210C">
        <w:rPr>
          <w:rtl/>
        </w:rPr>
        <w:t xml:space="preserve"> (להלן – חוק </w:t>
      </w:r>
      <w:r w:rsidR="00B04F6A">
        <w:rPr>
          <w:rtl/>
        </w:rPr>
        <w:t>שוויון</w:t>
      </w:r>
      <w:r w:rsidR="0026210C">
        <w:rPr>
          <w:rFonts w:hint="cs"/>
          <w:rtl/>
        </w:rPr>
        <w:t xml:space="preserve"> זכויות לאנשים עם מוגבלות</w:t>
      </w:r>
      <w:r w:rsidR="00B04F6A">
        <w:rPr>
          <w:rtl/>
        </w:rPr>
        <w:t>)</w:t>
      </w:r>
      <w:r w:rsidR="00B04F6A" w:rsidRPr="00284751">
        <w:rPr>
          <w:rtl/>
        </w:rPr>
        <w:t>, ב</w:t>
      </w:r>
      <w:r>
        <w:rPr>
          <w:rFonts w:hint="cs"/>
          <w:rtl/>
        </w:rPr>
        <w:t>של</w:t>
      </w:r>
      <w:r w:rsidR="00B04F6A" w:rsidRPr="00284751">
        <w:rPr>
          <w:rtl/>
        </w:rPr>
        <w:t xml:space="preserve"> הפרת הוראות החוק. </w:t>
      </w:r>
    </w:p>
    <w:p w14:paraId="1FCC73D5" w14:textId="4E1126E0" w:rsidR="00B04F6A" w:rsidRPr="00284751" w:rsidRDefault="00B04F6A" w:rsidP="0026210C">
      <w:pPr>
        <w:pStyle w:val="Hesber"/>
        <w:rPr>
          <w:rtl/>
        </w:rPr>
      </w:pPr>
      <w:r>
        <w:rPr>
          <w:rtl/>
        </w:rPr>
        <w:t>בנוסף, מחליפה הצעת החוק את ההגדרה "מקום ציבורי" בהגדרה הרחבה שבחוק שוויון</w:t>
      </w:r>
      <w:r w:rsidR="00435385">
        <w:rPr>
          <w:rFonts w:hint="cs"/>
          <w:rtl/>
        </w:rPr>
        <w:t xml:space="preserve"> זכויות לאנשים עם מוגבלות</w:t>
      </w:r>
      <w:r>
        <w:rPr>
          <w:rtl/>
        </w:rPr>
        <w:t>.</w:t>
      </w:r>
    </w:p>
    <w:p w14:paraId="018486E7" w14:textId="1ABF3FF1" w:rsidR="00B04F6A" w:rsidRDefault="00B04F6A" w:rsidP="000558F9">
      <w:pPr>
        <w:pStyle w:val="Hesber"/>
        <w:rPr>
          <w:rtl/>
        </w:rPr>
      </w:pPr>
      <w:r w:rsidRPr="00284751">
        <w:rPr>
          <w:rtl/>
        </w:rPr>
        <w:t xml:space="preserve">הצעת </w:t>
      </w:r>
      <w:r w:rsidR="002D2881">
        <w:rPr>
          <w:rFonts w:hint="cs"/>
          <w:rtl/>
        </w:rPr>
        <w:t>ה</w:t>
      </w:r>
      <w:r w:rsidRPr="00284751">
        <w:rPr>
          <w:rtl/>
        </w:rPr>
        <w:t xml:space="preserve">חוק  נכתבה על בסיס  תזכיר חוק ממשלתי </w:t>
      </w:r>
      <w:r w:rsidR="000558F9">
        <w:rPr>
          <w:rFonts w:hint="cs"/>
          <w:rtl/>
        </w:rPr>
        <w:t xml:space="preserve">(תזכיר </w:t>
      </w:r>
      <w:r w:rsidRPr="00284751">
        <w:rPr>
          <w:rtl/>
        </w:rPr>
        <w:t xml:space="preserve">חוק איסור הפליית אנשים עיוורים המלווים בכלבי נחייה, </w:t>
      </w:r>
      <w:proofErr w:type="spellStart"/>
      <w:r w:rsidRPr="00284751">
        <w:rPr>
          <w:rtl/>
        </w:rPr>
        <w:t>התשע"ג</w:t>
      </w:r>
      <w:proofErr w:type="spellEnd"/>
      <w:r>
        <w:rPr>
          <w:rtl/>
        </w:rPr>
        <w:t>–</w:t>
      </w:r>
      <w:r w:rsidRPr="00284751">
        <w:rPr>
          <w:rtl/>
        </w:rPr>
        <w:t xml:space="preserve">2013 (תיקון </w:t>
      </w:r>
      <w:r>
        <w:rPr>
          <w:rtl/>
        </w:rPr>
        <w:t>–</w:t>
      </w:r>
      <w:r w:rsidRPr="00284751">
        <w:rPr>
          <w:rtl/>
        </w:rPr>
        <w:t xml:space="preserve"> </w:t>
      </w:r>
      <w:r w:rsidR="000558F9">
        <w:rPr>
          <w:rFonts w:hint="cs"/>
          <w:rtl/>
        </w:rPr>
        <w:t>מס' 1) (</w:t>
      </w:r>
      <w:r w:rsidRPr="00284751">
        <w:rPr>
          <w:rtl/>
        </w:rPr>
        <w:t xml:space="preserve">כלבים בהכשרה), </w:t>
      </w:r>
      <w:proofErr w:type="spellStart"/>
      <w:r>
        <w:rPr>
          <w:rtl/>
        </w:rPr>
        <w:t>ה</w:t>
      </w:r>
      <w:r w:rsidRPr="00284751">
        <w:rPr>
          <w:rtl/>
        </w:rPr>
        <w:t>תשע"</w:t>
      </w:r>
      <w:r w:rsidR="00435385">
        <w:rPr>
          <w:rFonts w:hint="cs"/>
          <w:rtl/>
        </w:rPr>
        <w:t>ג</w:t>
      </w:r>
      <w:proofErr w:type="spellEnd"/>
      <w:r>
        <w:rPr>
          <w:rtl/>
        </w:rPr>
        <w:t>–</w:t>
      </w:r>
      <w:r w:rsidRPr="00284751">
        <w:rPr>
          <w:rtl/>
        </w:rPr>
        <w:t>2013</w:t>
      </w:r>
      <w:r w:rsidR="000558F9">
        <w:rPr>
          <w:rFonts w:hint="cs"/>
          <w:rtl/>
        </w:rPr>
        <w:t>)</w:t>
      </w:r>
      <w:r>
        <w:rPr>
          <w:rtl/>
        </w:rPr>
        <w:t>,</w:t>
      </w:r>
      <w:r w:rsidRPr="00284751">
        <w:rPr>
          <w:rtl/>
        </w:rPr>
        <w:t xml:space="preserve"> </w:t>
      </w:r>
      <w:r>
        <w:rPr>
          <w:rtl/>
        </w:rPr>
        <w:t>שהכין משרד הרווחה והשירותים החברתיים</w:t>
      </w:r>
      <w:r w:rsidRPr="00284751">
        <w:rPr>
          <w:rtl/>
        </w:rPr>
        <w:t>.</w:t>
      </w:r>
    </w:p>
    <w:p w14:paraId="22800053" w14:textId="51787EA1" w:rsidR="002B4B11" w:rsidRDefault="002B4B11" w:rsidP="002D2881">
      <w:pPr>
        <w:pStyle w:val="Hesber"/>
        <w:rPr>
          <w:rtl/>
        </w:rPr>
      </w:pPr>
      <w:r>
        <w:rPr>
          <w:rFonts w:hint="cs"/>
          <w:rtl/>
        </w:rPr>
        <w:t xml:space="preserve">הצעות חוק דומות בעיקרן הונחו על שולחן הכנסת התשע-עשרה </w:t>
      </w:r>
      <w:r w:rsidR="00505D7E">
        <w:rPr>
          <w:rFonts w:hint="cs"/>
          <w:rtl/>
        </w:rPr>
        <w:t xml:space="preserve">על ידי </w:t>
      </w:r>
      <w:r>
        <w:rPr>
          <w:rFonts w:hint="cs"/>
          <w:rtl/>
        </w:rPr>
        <w:t>חברי הכנסת מיקי רוזנטל ואילן גילאון (פ/1756/</w:t>
      </w:r>
      <w:r w:rsidR="002D2881">
        <w:rPr>
          <w:rFonts w:hint="cs"/>
          <w:rtl/>
        </w:rPr>
        <w:t>19</w:t>
      </w:r>
      <w:r>
        <w:rPr>
          <w:rFonts w:hint="cs"/>
          <w:rtl/>
        </w:rPr>
        <w:t>)</w:t>
      </w:r>
      <w:r w:rsidR="00505D7E">
        <w:rPr>
          <w:rFonts w:hint="cs"/>
          <w:rtl/>
        </w:rPr>
        <w:t>, ו</w:t>
      </w:r>
      <w:r>
        <w:rPr>
          <w:rFonts w:hint="cs"/>
          <w:rtl/>
        </w:rPr>
        <w:t>על ידי חבר הכנסת דב ליפמן וקבוצת חברי הכנסת (פ/2704/</w:t>
      </w:r>
      <w:r w:rsidR="00505D7E">
        <w:rPr>
          <w:rFonts w:hint="cs"/>
          <w:rtl/>
        </w:rPr>
        <w:t>19</w:t>
      </w:r>
      <w:r>
        <w:rPr>
          <w:rFonts w:hint="cs"/>
          <w:rtl/>
        </w:rPr>
        <w:t xml:space="preserve">). </w:t>
      </w:r>
    </w:p>
    <w:p w14:paraId="7F6961CB" w14:textId="77777777" w:rsidR="00E13C27" w:rsidRDefault="00E13C27" w:rsidP="00E13C27">
      <w:pPr>
        <w:pStyle w:val="Hesber"/>
        <w:rPr>
          <w:rtl/>
        </w:rPr>
      </w:pPr>
    </w:p>
    <w:p w14:paraId="1C1CB82D" w14:textId="1FCBA1EC" w:rsidR="002D2881" w:rsidRDefault="002D2881" w:rsidP="00E13C27">
      <w:pPr>
        <w:pStyle w:val="Hesber"/>
        <w:rPr>
          <w:rtl/>
        </w:rPr>
      </w:pPr>
    </w:p>
    <w:p w14:paraId="61499DA4" w14:textId="77777777" w:rsidR="002D2881" w:rsidRPr="0022704F" w:rsidRDefault="002D2881" w:rsidP="002D2881">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14:paraId="60317D02" w14:textId="77777777" w:rsidR="002D2881" w:rsidRPr="0022704F" w:rsidRDefault="002D2881" w:rsidP="002D2881">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14:paraId="6595AD29" w14:textId="77777777" w:rsidR="002D2881" w:rsidRPr="0022704F" w:rsidRDefault="002D2881" w:rsidP="002D2881">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14:paraId="3A20EC44" w14:textId="77777777" w:rsidR="002D2881" w:rsidRPr="00935520" w:rsidRDefault="002D2881" w:rsidP="002D2881">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 xml:space="preserve">י"ט בתמוז </w:t>
      </w:r>
      <w:proofErr w:type="spellStart"/>
      <w:r>
        <w:rPr>
          <w:rFonts w:ascii="Arial" w:eastAsia="Arial Unicode MS" w:hAnsi="Arial" w:cs="David" w:hint="cs"/>
          <w:snapToGrid w:val="0"/>
          <w:spacing w:val="0"/>
          <w:sz w:val="20"/>
          <w:szCs w:val="26"/>
          <w:rtl/>
        </w:rPr>
        <w:t>התשע"ה</w:t>
      </w:r>
      <w:proofErr w:type="spellEnd"/>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6</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7</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p>
    <w:p w14:paraId="1C14B589" w14:textId="77777777" w:rsidR="002D2881" w:rsidRPr="00E635D3" w:rsidRDefault="002D2881" w:rsidP="002D2881">
      <w:pPr>
        <w:ind w:left="340" w:firstLine="0"/>
        <w:rPr>
          <w:rFonts w:ascii="Arial" w:eastAsia="Arial Unicode MS" w:hAnsi="Arial" w:cs="David"/>
          <w:snapToGrid w:val="0"/>
          <w:spacing w:val="0"/>
          <w:sz w:val="20"/>
          <w:szCs w:val="26"/>
          <w:rtl/>
        </w:rPr>
      </w:pPr>
    </w:p>
    <w:p w14:paraId="2A79DACD" w14:textId="77777777" w:rsidR="002D2881" w:rsidRDefault="002D2881" w:rsidP="00E13C27">
      <w:pPr>
        <w:pStyle w:val="Hesber"/>
        <w:rPr>
          <w:rtl/>
        </w:rPr>
      </w:pPr>
    </w:p>
    <w:sectPr w:rsidR="002D2881"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574E" w14:textId="77777777" w:rsidR="00D529F8" w:rsidRDefault="00D529F8">
      <w:r>
        <w:separator/>
      </w:r>
    </w:p>
  </w:endnote>
  <w:endnote w:type="continuationSeparator" w:id="0">
    <w:p w14:paraId="12A639FC" w14:textId="77777777" w:rsidR="00D529F8" w:rsidRDefault="00D529F8">
      <w:r>
        <w:continuationSeparator/>
      </w:r>
    </w:p>
  </w:endnote>
  <w:endnote w:type="continuationNotice" w:id="1">
    <w:p w14:paraId="5C09A658" w14:textId="77777777" w:rsidR="00D529F8" w:rsidRDefault="00D529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7857C5">
      <w:rPr>
        <w:rStyle w:val="ab"/>
        <w:noProof/>
        <w:rtl/>
      </w:rPr>
      <w:t>4</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8C71F" w14:textId="77777777" w:rsidR="00D529F8" w:rsidRDefault="00D529F8">
      <w:r>
        <w:separator/>
      </w:r>
    </w:p>
  </w:footnote>
  <w:footnote w:type="continuationSeparator" w:id="0">
    <w:p w14:paraId="79E1B276" w14:textId="77777777" w:rsidR="00D529F8" w:rsidRDefault="00D529F8">
      <w:r>
        <w:continuationSeparator/>
      </w:r>
    </w:p>
  </w:footnote>
  <w:footnote w:type="continuationNotice" w:id="1">
    <w:p w14:paraId="240D1671" w14:textId="77777777" w:rsidR="00D529F8" w:rsidRDefault="00D529F8"/>
  </w:footnote>
  <w:footnote w:id="2">
    <w:p w14:paraId="1FD2AD17" w14:textId="77777777" w:rsidR="00B04F6A" w:rsidRDefault="00B04F6A" w:rsidP="00C955EF">
      <w:pPr>
        <w:pStyle w:val="a4"/>
      </w:pPr>
      <w:r>
        <w:rPr>
          <w:rStyle w:val="a6"/>
        </w:rPr>
        <w:footnoteRef/>
      </w:r>
      <w:r>
        <w:rPr>
          <w:rtl/>
        </w:rPr>
        <w:t xml:space="preserve"> ס"ח </w:t>
      </w:r>
      <w:proofErr w:type="spellStart"/>
      <w:r>
        <w:rPr>
          <w:rtl/>
        </w:rPr>
        <w:t>התשנ"ג</w:t>
      </w:r>
      <w:proofErr w:type="spellEnd"/>
      <w:r>
        <w:rPr>
          <w:rtl/>
        </w:rPr>
        <w:t>, עמ' 48.</w:t>
      </w:r>
    </w:p>
  </w:footnote>
  <w:footnote w:id="3">
    <w:p w14:paraId="70471E60" w14:textId="77777777" w:rsidR="00B04F6A" w:rsidRDefault="00B04F6A" w:rsidP="00C955EF">
      <w:pPr>
        <w:pStyle w:val="a4"/>
      </w:pPr>
      <w:r>
        <w:rPr>
          <w:rStyle w:val="a6"/>
        </w:rPr>
        <w:footnoteRef/>
      </w:r>
      <w:r>
        <w:rPr>
          <w:rtl/>
        </w:rPr>
        <w:t xml:space="preserve"> </w:t>
      </w:r>
      <w:r>
        <w:rPr>
          <w:rtl/>
        </w:rPr>
        <w:t xml:space="preserve">ס"ח </w:t>
      </w:r>
      <w:proofErr w:type="spellStart"/>
      <w:r>
        <w:rPr>
          <w:rtl/>
        </w:rPr>
        <w:t>התשל"ז</w:t>
      </w:r>
      <w:proofErr w:type="spellEnd"/>
      <w:r>
        <w:rPr>
          <w:rtl/>
        </w:rPr>
        <w:t>, עמ' 226.</w:t>
      </w:r>
    </w:p>
  </w:footnote>
  <w:footnote w:id="4">
    <w:p w14:paraId="73652C9A" w14:textId="77777777" w:rsidR="00B04F6A" w:rsidRDefault="00B04F6A" w:rsidP="00C955EF">
      <w:pPr>
        <w:pStyle w:val="a4"/>
      </w:pPr>
      <w:r>
        <w:rPr>
          <w:rStyle w:val="a6"/>
        </w:rPr>
        <w:footnoteRef/>
      </w:r>
      <w:r>
        <w:rPr>
          <w:rtl/>
        </w:rPr>
        <w:t xml:space="preserve"> </w:t>
      </w:r>
      <w:r>
        <w:rPr>
          <w:rtl/>
        </w:rPr>
        <w:t xml:space="preserve">ס"ח </w:t>
      </w:r>
      <w:proofErr w:type="spellStart"/>
      <w:r>
        <w:rPr>
          <w:rtl/>
        </w:rPr>
        <w:t>התשנ"ח</w:t>
      </w:r>
      <w:proofErr w:type="spellEnd"/>
      <w:r>
        <w:rPr>
          <w:rtl/>
        </w:rPr>
        <w:t>, עמ' 152.</w:t>
      </w:r>
    </w:p>
  </w:footnote>
  <w:footnote w:id="5">
    <w:p w14:paraId="5FA7B792" w14:textId="3560008B" w:rsidR="00C955EF" w:rsidRPr="00C955EF" w:rsidRDefault="00C955EF" w:rsidP="00C955EF">
      <w:pPr>
        <w:pStyle w:val="a4"/>
        <w:rPr>
          <w:rtl/>
        </w:rPr>
      </w:pPr>
      <w:r w:rsidRPr="00C955EF">
        <w:rPr>
          <w:rStyle w:val="a6"/>
        </w:rPr>
        <w:footnoteRef/>
      </w:r>
      <w:r w:rsidRPr="00C955EF">
        <w:rPr>
          <w:rtl/>
        </w:rPr>
        <w:t xml:space="preserve"> </w:t>
      </w:r>
      <w:r w:rsidRPr="00C955EF">
        <w:rPr>
          <w:rFonts w:hint="cs"/>
          <w:rtl/>
        </w:rPr>
        <w:t>דיני מדינת ישראל, נוסח חדש 10, עמ' 266.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077FE"/>
    <w:rsid w:val="00015B27"/>
    <w:rsid w:val="000558F9"/>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A6228"/>
    <w:rsid w:val="001C23B0"/>
    <w:rsid w:val="001D7AAF"/>
    <w:rsid w:val="001F2B8B"/>
    <w:rsid w:val="00203A7F"/>
    <w:rsid w:val="0021633A"/>
    <w:rsid w:val="002200A1"/>
    <w:rsid w:val="002273B2"/>
    <w:rsid w:val="00231BA7"/>
    <w:rsid w:val="002362BF"/>
    <w:rsid w:val="00241B97"/>
    <w:rsid w:val="002425D1"/>
    <w:rsid w:val="00246756"/>
    <w:rsid w:val="00251E58"/>
    <w:rsid w:val="00254605"/>
    <w:rsid w:val="0026210C"/>
    <w:rsid w:val="00266D86"/>
    <w:rsid w:val="002728B4"/>
    <w:rsid w:val="0027600C"/>
    <w:rsid w:val="00292712"/>
    <w:rsid w:val="002A487D"/>
    <w:rsid w:val="002B4B11"/>
    <w:rsid w:val="002C2E29"/>
    <w:rsid w:val="002C3041"/>
    <w:rsid w:val="002D1EE3"/>
    <w:rsid w:val="002D2881"/>
    <w:rsid w:val="002F1D80"/>
    <w:rsid w:val="003232A2"/>
    <w:rsid w:val="00325C14"/>
    <w:rsid w:val="00362D12"/>
    <w:rsid w:val="0036422C"/>
    <w:rsid w:val="003710F6"/>
    <w:rsid w:val="00386E88"/>
    <w:rsid w:val="00396585"/>
    <w:rsid w:val="003D6E38"/>
    <w:rsid w:val="003D74A0"/>
    <w:rsid w:val="004033D8"/>
    <w:rsid w:val="004073F0"/>
    <w:rsid w:val="00412A7D"/>
    <w:rsid w:val="00416B4D"/>
    <w:rsid w:val="00417CFC"/>
    <w:rsid w:val="00427E51"/>
    <w:rsid w:val="00435385"/>
    <w:rsid w:val="004A06DC"/>
    <w:rsid w:val="004A43E5"/>
    <w:rsid w:val="004B24ED"/>
    <w:rsid w:val="004B6625"/>
    <w:rsid w:val="004D2D82"/>
    <w:rsid w:val="004D3876"/>
    <w:rsid w:val="004E4552"/>
    <w:rsid w:val="004E6CDF"/>
    <w:rsid w:val="00505D7E"/>
    <w:rsid w:val="00553C9D"/>
    <w:rsid w:val="00562A66"/>
    <w:rsid w:val="005B064E"/>
    <w:rsid w:val="005D51AE"/>
    <w:rsid w:val="005F5DAA"/>
    <w:rsid w:val="0062674B"/>
    <w:rsid w:val="006363B2"/>
    <w:rsid w:val="00644940"/>
    <w:rsid w:val="006818A9"/>
    <w:rsid w:val="006A2D81"/>
    <w:rsid w:val="006C1D0D"/>
    <w:rsid w:val="0070601E"/>
    <w:rsid w:val="00712C72"/>
    <w:rsid w:val="00735FE9"/>
    <w:rsid w:val="00763CAA"/>
    <w:rsid w:val="00765F66"/>
    <w:rsid w:val="007857C5"/>
    <w:rsid w:val="0078664F"/>
    <w:rsid w:val="00792BF5"/>
    <w:rsid w:val="007C3FA6"/>
    <w:rsid w:val="007D585A"/>
    <w:rsid w:val="007D5A12"/>
    <w:rsid w:val="007E59F9"/>
    <w:rsid w:val="00810BCD"/>
    <w:rsid w:val="00812C98"/>
    <w:rsid w:val="00814D92"/>
    <w:rsid w:val="0083181D"/>
    <w:rsid w:val="0084338B"/>
    <w:rsid w:val="00843EB2"/>
    <w:rsid w:val="00865572"/>
    <w:rsid w:val="008718EA"/>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0EE6"/>
    <w:rsid w:val="00923CD4"/>
    <w:rsid w:val="00930EFE"/>
    <w:rsid w:val="009377B0"/>
    <w:rsid w:val="00943386"/>
    <w:rsid w:val="009456B6"/>
    <w:rsid w:val="00957589"/>
    <w:rsid w:val="00966D06"/>
    <w:rsid w:val="00982412"/>
    <w:rsid w:val="00983A8D"/>
    <w:rsid w:val="009A0DB8"/>
    <w:rsid w:val="009A7257"/>
    <w:rsid w:val="009B31D6"/>
    <w:rsid w:val="009C18B9"/>
    <w:rsid w:val="009D6E0A"/>
    <w:rsid w:val="009E1E33"/>
    <w:rsid w:val="009F0D06"/>
    <w:rsid w:val="00A14672"/>
    <w:rsid w:val="00A26BD6"/>
    <w:rsid w:val="00A443CF"/>
    <w:rsid w:val="00A6611D"/>
    <w:rsid w:val="00A82CB7"/>
    <w:rsid w:val="00A942C1"/>
    <w:rsid w:val="00AA2F03"/>
    <w:rsid w:val="00AC36F7"/>
    <w:rsid w:val="00AC63A4"/>
    <w:rsid w:val="00AD239E"/>
    <w:rsid w:val="00B04F6A"/>
    <w:rsid w:val="00B10265"/>
    <w:rsid w:val="00B16A99"/>
    <w:rsid w:val="00B21211"/>
    <w:rsid w:val="00B35784"/>
    <w:rsid w:val="00B616C9"/>
    <w:rsid w:val="00B63EE2"/>
    <w:rsid w:val="00B672C5"/>
    <w:rsid w:val="00B733A7"/>
    <w:rsid w:val="00B75C91"/>
    <w:rsid w:val="00B975AD"/>
    <w:rsid w:val="00BA47A8"/>
    <w:rsid w:val="00BC45FB"/>
    <w:rsid w:val="00BF148D"/>
    <w:rsid w:val="00C23B1A"/>
    <w:rsid w:val="00C310EB"/>
    <w:rsid w:val="00C87E57"/>
    <w:rsid w:val="00C9176A"/>
    <w:rsid w:val="00C955EF"/>
    <w:rsid w:val="00CF1AA2"/>
    <w:rsid w:val="00D17774"/>
    <w:rsid w:val="00D529F8"/>
    <w:rsid w:val="00D63620"/>
    <w:rsid w:val="00D8410D"/>
    <w:rsid w:val="00D867D7"/>
    <w:rsid w:val="00DB7060"/>
    <w:rsid w:val="00DE3153"/>
    <w:rsid w:val="00E06736"/>
    <w:rsid w:val="00E13C27"/>
    <w:rsid w:val="00E33BBD"/>
    <w:rsid w:val="00E374F2"/>
    <w:rsid w:val="00E45103"/>
    <w:rsid w:val="00E55A60"/>
    <w:rsid w:val="00E55E03"/>
    <w:rsid w:val="00E62778"/>
    <w:rsid w:val="00E63D38"/>
    <w:rsid w:val="00E65F0D"/>
    <w:rsid w:val="00E665B9"/>
    <w:rsid w:val="00EA01E6"/>
    <w:rsid w:val="00EA3DE8"/>
    <w:rsid w:val="00EA758F"/>
    <w:rsid w:val="00EB3AA3"/>
    <w:rsid w:val="00ED4A6F"/>
    <w:rsid w:val="00EF3A3A"/>
    <w:rsid w:val="00F45596"/>
    <w:rsid w:val="00F628D6"/>
    <w:rsid w:val="00F67051"/>
    <w:rsid w:val="00F75119"/>
    <w:rsid w:val="00F86A1E"/>
    <w:rsid w:val="00FA5E88"/>
    <w:rsid w:val="00FB0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66B410B-6470-408B-96A8-C022404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C955EF"/>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locked/>
    <w:rsid w:val="00C955EF"/>
    <w:rPr>
      <w:rFonts w:ascii="Arial" w:eastAsia="Arial Unicode MS" w:hAnsi="Arial" w:cs="David"/>
      <w:snapToGrid w:val="0"/>
      <w:color w:val="000000"/>
      <w:sz w:val="14"/>
      <w:lang w:eastAsia="ja-JP"/>
    </w:rPr>
  </w:style>
  <w:style w:type="character" w:styleId="ae">
    <w:name w:val="annotation reference"/>
    <w:basedOn w:val="a0"/>
    <w:semiHidden/>
    <w:unhideWhenUsed/>
    <w:rsid w:val="002273B2"/>
    <w:rPr>
      <w:sz w:val="16"/>
      <w:szCs w:val="16"/>
    </w:rPr>
  </w:style>
  <w:style w:type="paragraph" w:styleId="af">
    <w:name w:val="annotation text"/>
    <w:basedOn w:val="a"/>
    <w:link w:val="af0"/>
    <w:semiHidden/>
    <w:unhideWhenUsed/>
    <w:rsid w:val="002273B2"/>
    <w:pPr>
      <w:spacing w:line="240" w:lineRule="auto"/>
    </w:pPr>
    <w:rPr>
      <w:sz w:val="20"/>
      <w:szCs w:val="20"/>
    </w:rPr>
  </w:style>
  <w:style w:type="character" w:customStyle="1" w:styleId="af0">
    <w:name w:val="טקסט הערה תו"/>
    <w:basedOn w:val="a0"/>
    <w:link w:val="af"/>
    <w:semiHidden/>
    <w:rsid w:val="002273B2"/>
    <w:rPr>
      <w:rFonts w:ascii="Hadasa Roso SL" w:hAnsi="Hadasa Roso SL" w:cs="Hadasa Roso SL"/>
      <w:color w:val="000000"/>
      <w:spacing w:val="1"/>
      <w:lang w:eastAsia="ja-JP"/>
    </w:rPr>
  </w:style>
  <w:style w:type="paragraph" w:styleId="af1">
    <w:name w:val="annotation subject"/>
    <w:basedOn w:val="af"/>
    <w:next w:val="af"/>
    <w:link w:val="af2"/>
    <w:semiHidden/>
    <w:unhideWhenUsed/>
    <w:rsid w:val="002273B2"/>
    <w:rPr>
      <w:b/>
      <w:bCs/>
    </w:rPr>
  </w:style>
  <w:style w:type="character" w:customStyle="1" w:styleId="af2">
    <w:name w:val="נושא הערה תו"/>
    <w:basedOn w:val="af0"/>
    <w:link w:val="af1"/>
    <w:semiHidden/>
    <w:rsid w:val="002273B2"/>
    <w:rPr>
      <w:rFonts w:ascii="Hadasa Roso SL" w:hAnsi="Hadasa Roso SL" w:cs="Hadasa Roso SL"/>
      <w:b/>
      <w:bCs/>
      <w:color w:val="000000"/>
      <w:spacing w:val="1"/>
      <w:lang w:eastAsia="ja-JP"/>
    </w:rPr>
  </w:style>
  <w:style w:type="paragraph" w:customStyle="1" w:styleId="P00">
    <w:name w:val="P00"/>
    <w:rsid w:val="002273B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2273B2"/>
    <w:rPr>
      <w:rFonts w:ascii="Times New Roman" w:hAnsi="Times New Roman" w:cs="Times New Roman"/>
      <w:sz w:val="26"/>
      <w:szCs w:val="26"/>
    </w:rPr>
  </w:style>
  <w:style w:type="character" w:styleId="Hyperlink">
    <w:name w:val="Hyperlink"/>
    <w:basedOn w:val="a0"/>
    <w:rsid w:val="00C95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1304">
      <w:bodyDiv w:val="1"/>
      <w:marLeft w:val="0"/>
      <w:marRight w:val="0"/>
      <w:marTop w:val="0"/>
      <w:marBottom w:val="0"/>
      <w:divBdr>
        <w:top w:val="none" w:sz="0" w:space="0" w:color="auto"/>
        <w:left w:val="none" w:sz="0" w:space="0" w:color="auto"/>
        <w:bottom w:val="none" w:sz="0" w:space="0" w:color="auto"/>
        <w:right w:val="none" w:sz="0" w:space="0" w:color="auto"/>
      </w:divBdr>
    </w:div>
    <w:div w:id="1794443885">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F1470-4F6D-4427-86B3-53A946321F0A}"/>
</file>

<file path=customXml/itemProps2.xml><?xml version="1.0" encoding="utf-8"?>
<ds:datastoreItem xmlns:ds="http://schemas.openxmlformats.org/officeDocument/2006/customXml" ds:itemID="{88F4AFE3-9455-419C-8851-785A55F44517}"/>
</file>

<file path=customXml/itemProps3.xml><?xml version="1.0" encoding="utf-8"?>
<ds:datastoreItem xmlns:ds="http://schemas.openxmlformats.org/officeDocument/2006/customXml" ds:itemID="{53CDC32B-DD97-493E-9196-3EF77D6F9C7D}"/>
</file>

<file path=customXml/itemProps4.xml><?xml version="1.0" encoding="utf-8"?>
<ds:datastoreItem xmlns:ds="http://schemas.openxmlformats.org/officeDocument/2006/customXml" ds:itemID="{FEEB51E3-285E-4376-B33A-5D26E3F288F5}"/>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4622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שי גרשון מאיר</cp:lastModifiedBy>
  <cp:revision>3</cp:revision>
  <cp:lastPrinted>2015-07-01T13:15:00Z</cp:lastPrinted>
  <dcterms:created xsi:type="dcterms:W3CDTF">2016-06-16T05:51:00Z</dcterms:created>
  <dcterms:modified xsi:type="dcterms:W3CDTF">2016-06-16T05:51:00Z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2004115</vt:r8>
  </property>
</Properties>
</file>