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569691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יוזמים:      חברי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מכלוף מיקי זוהר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מיכל בירן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bookmarkEnd w:id="4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="002200A1"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7F6961AC" w14:textId="63B68600" w:rsidR="00E13C27" w:rsidRPr="00902C93" w:rsidRDefault="00266D86" w:rsidP="00902C93">
      <w:pPr>
        <w:pStyle w:val="David"/>
        <w:spacing w:before="0" w:line="360" w:lineRule="auto"/>
        <w:ind w:left="3544"/>
        <w:rPr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902C93">
        <w:tab/>
      </w:r>
      <w:r w:rsidR="00902C93" w:rsidRPr="00902C93">
        <w:rPr>
          <w:rFonts w:hint="cs"/>
          <w:rtl/>
        </w:rPr>
        <w:tab/>
      </w:r>
      <w:r w:rsidR="00902C93" w:rsidRPr="00902C93">
        <w:rPr>
          <w:rFonts w:hint="cs"/>
          <w:rtl/>
        </w:rPr>
        <w:tab/>
      </w:r>
      <w:r w:rsidR="00902C93" w:rsidRPr="00902C93">
        <w:rPr>
          <w:rtl/>
        </w:rPr>
        <w:tab/>
      </w:r>
      <w:r w:rsidR="00902C93" w:rsidRPr="00902C93">
        <w:rPr>
          <w:rtl/>
        </w:rPr>
        <w:tab/>
      </w:r>
      <w:r w:rsidR="00C7064E" w:rsidRPr="00902C93">
        <w:rPr>
          <w:rFonts w:hint="cs"/>
          <w:rtl/>
        </w:rPr>
        <w:t>פ/2425/20</w:t>
      </w:r>
    </w:p>
    <w:p w14:paraId="7E214DD9" w14:textId="6BEA266B" w:rsidR="004F78F9" w:rsidRDefault="00A443CF" w:rsidP="00EC0947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הפיקוח על שירותים פיננסיים (קופות גמל) (תיקון </w:t>
      </w:r>
      <w:r w:rsidR="00EC0947">
        <w:rPr>
          <w:rFonts w:hint="eastAsia"/>
          <w:rtl/>
        </w:rPr>
        <w:t>–</w:t>
      </w:r>
      <w:r>
        <w:rPr>
          <w:rFonts w:hint="cs"/>
          <w:rtl/>
        </w:rPr>
        <w:t xml:space="preserve"> ניתוק חישוב עמלת ההפצה </w:t>
      </w:r>
      <w:r w:rsidR="00C7064E">
        <w:rPr>
          <w:rtl/>
        </w:rPr>
        <w:br/>
      </w:r>
      <w:r>
        <w:rPr>
          <w:rFonts w:hint="cs"/>
          <w:rtl/>
        </w:rPr>
        <w:t>מדמי הניהול), התשע"ו–2016</w:t>
      </w:r>
      <w:bookmarkEnd w:id="7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4F78F9" w14:paraId="254D3F35" w14:textId="77777777" w:rsidTr="00C7064E">
        <w:trPr>
          <w:cantSplit/>
        </w:trPr>
        <w:tc>
          <w:tcPr>
            <w:tcW w:w="1871" w:type="dxa"/>
          </w:tcPr>
          <w:p w14:paraId="5EB47C62" w14:textId="2FBDCE62" w:rsidR="004F78F9" w:rsidRDefault="00C2653B" w:rsidP="00F86EBC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32</w:t>
            </w:r>
          </w:p>
        </w:tc>
        <w:tc>
          <w:tcPr>
            <w:tcW w:w="624" w:type="dxa"/>
          </w:tcPr>
          <w:p w14:paraId="4D14B3DC" w14:textId="647076F8" w:rsidR="004F78F9" w:rsidRPr="008C5DAE" w:rsidRDefault="004F78F9" w:rsidP="00F86EBC">
            <w:pPr>
              <w:pStyle w:val="TableText"/>
              <w:keepLines w:val="0"/>
            </w:pPr>
            <w:r w:rsidRPr="008C5DAE">
              <w:rPr>
                <w:rtl/>
              </w:rPr>
              <w:t>1.</w:t>
            </w:r>
          </w:p>
        </w:tc>
        <w:tc>
          <w:tcPr>
            <w:tcW w:w="7143" w:type="dxa"/>
          </w:tcPr>
          <w:p w14:paraId="2E44ED38" w14:textId="53B547ED" w:rsidR="004F78F9" w:rsidRPr="00551665" w:rsidRDefault="004F78F9" w:rsidP="00C7064E">
            <w:pPr>
              <w:pStyle w:val="TableBlock"/>
              <w:rPr>
                <w:b/>
                <w:bCs/>
              </w:rPr>
            </w:pPr>
            <w:r w:rsidRPr="00551665">
              <w:rPr>
                <w:rFonts w:hint="eastAsia"/>
                <w:rtl/>
              </w:rPr>
              <w:t>ב</w:t>
            </w:r>
            <w:r w:rsidRPr="00551665">
              <w:rPr>
                <w:rtl/>
              </w:rPr>
              <w:t xml:space="preserve">חוק הפיקוח על </w:t>
            </w:r>
            <w:r w:rsidRPr="00551665">
              <w:rPr>
                <w:rFonts w:hint="eastAsia"/>
                <w:rtl/>
              </w:rPr>
              <w:t>שירותים</w:t>
            </w:r>
            <w:r w:rsidRPr="00551665">
              <w:rPr>
                <w:rtl/>
              </w:rPr>
              <w:t xml:space="preserve"> </w:t>
            </w:r>
            <w:r w:rsidRPr="00551665">
              <w:rPr>
                <w:rFonts w:hint="eastAsia"/>
                <w:rtl/>
              </w:rPr>
              <w:t>פיננסיים</w:t>
            </w:r>
            <w:r w:rsidRPr="00551665">
              <w:rPr>
                <w:rtl/>
              </w:rPr>
              <w:t xml:space="preserve"> (</w:t>
            </w:r>
            <w:r w:rsidR="00D31B91">
              <w:rPr>
                <w:rFonts w:hint="cs"/>
                <w:rtl/>
              </w:rPr>
              <w:t>קופות גמל</w:t>
            </w:r>
            <w:r w:rsidRPr="00551665">
              <w:rPr>
                <w:rtl/>
              </w:rPr>
              <w:t>)</w:t>
            </w:r>
            <w:r w:rsidR="00076224" w:rsidRPr="00551665">
              <w:rPr>
                <w:rtl/>
              </w:rPr>
              <w:t xml:space="preserve">, </w:t>
            </w:r>
            <w:proofErr w:type="spellStart"/>
            <w:r w:rsidR="00076224" w:rsidRPr="00551665">
              <w:rPr>
                <w:rFonts w:hint="eastAsia"/>
                <w:rtl/>
              </w:rPr>
              <w:t>התשס</w:t>
            </w:r>
            <w:r w:rsidR="00076224" w:rsidRPr="00551665">
              <w:rPr>
                <w:rtl/>
              </w:rPr>
              <w:t>"ה</w:t>
            </w:r>
            <w:proofErr w:type="spellEnd"/>
            <w:r w:rsidR="00076224" w:rsidRPr="00551665">
              <w:rPr>
                <w:rFonts w:hint="eastAsia"/>
                <w:rtl/>
              </w:rPr>
              <w:t>–</w:t>
            </w:r>
            <w:r w:rsidRPr="00551665">
              <w:rPr>
                <w:rtl/>
              </w:rPr>
              <w:t>2005</w:t>
            </w:r>
            <w:r w:rsidRPr="00551665">
              <w:rPr>
                <w:rStyle w:val="a6"/>
                <w:sz w:val="26"/>
                <w:rtl/>
              </w:rPr>
              <w:footnoteReference w:id="2"/>
            </w:r>
            <w:r w:rsidRPr="00551665">
              <w:rPr>
                <w:rtl/>
              </w:rPr>
              <w:t xml:space="preserve"> (להלן – </w:t>
            </w:r>
            <w:r w:rsidR="00CA6E5E">
              <w:rPr>
                <w:rFonts w:hint="cs"/>
                <w:rtl/>
              </w:rPr>
              <w:t>ה</w:t>
            </w:r>
            <w:r w:rsidRPr="00551665">
              <w:rPr>
                <w:rFonts w:hint="eastAsia"/>
                <w:rtl/>
              </w:rPr>
              <w:t>חוק</w:t>
            </w:r>
            <w:r w:rsidR="00CA6E5E">
              <w:rPr>
                <w:rFonts w:hint="cs"/>
                <w:rtl/>
              </w:rPr>
              <w:t xml:space="preserve"> העיקרי</w:t>
            </w:r>
            <w:r w:rsidRPr="00551665">
              <w:rPr>
                <w:rtl/>
              </w:rPr>
              <w:t xml:space="preserve">), </w:t>
            </w:r>
            <w:r w:rsidR="00E34B69">
              <w:rPr>
                <w:rFonts w:hint="cs"/>
                <w:rtl/>
              </w:rPr>
              <w:t>בסעיף 32(ה)(2), בסופו יבוא:</w:t>
            </w:r>
          </w:p>
        </w:tc>
      </w:tr>
      <w:tr w:rsidR="008C5DAE" w14:paraId="5F3178F8" w14:textId="77777777" w:rsidTr="00C7064E">
        <w:trPr>
          <w:cantSplit/>
        </w:trPr>
        <w:tc>
          <w:tcPr>
            <w:tcW w:w="1871" w:type="dxa"/>
          </w:tcPr>
          <w:p w14:paraId="4471DDCA" w14:textId="77777777" w:rsidR="008C5DAE" w:rsidRDefault="008C5DAE" w:rsidP="00F86EBC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5F5663E0" w14:textId="77777777" w:rsidR="008C5DAE" w:rsidRDefault="008C5DAE" w:rsidP="00F86EBC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3" w:type="dxa"/>
          </w:tcPr>
          <w:p w14:paraId="10426BE2" w14:textId="652E7C3A" w:rsidR="008C5DAE" w:rsidRDefault="00E34B69" w:rsidP="00C706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"ובלבד שעמלת ההפצה לא תחושב בזיקה לדמי הניהול שגובה חברה מנהלת מעמית".</w:t>
            </w:r>
          </w:p>
        </w:tc>
      </w:tr>
      <w:tr w:rsidR="00A04760" w14:paraId="566D6879" w14:textId="77777777" w:rsidTr="00C7064E">
        <w:trPr>
          <w:cantSplit/>
        </w:trPr>
        <w:tc>
          <w:tcPr>
            <w:tcW w:w="1871" w:type="dxa"/>
          </w:tcPr>
          <w:p w14:paraId="64ACF006" w14:textId="6D08FE23" w:rsidR="00A04760" w:rsidRDefault="00A04760" w:rsidP="00551665">
            <w:pPr>
              <w:pStyle w:val="TableSideHeading"/>
            </w:pPr>
            <w:r>
              <w:rPr>
                <w:rFonts w:hint="cs"/>
                <w:rtl/>
              </w:rPr>
              <w:t>תיקון סעיף 49</w:t>
            </w:r>
          </w:p>
        </w:tc>
        <w:tc>
          <w:tcPr>
            <w:tcW w:w="624" w:type="dxa"/>
          </w:tcPr>
          <w:p w14:paraId="5980F50A" w14:textId="5179C54F" w:rsidR="00A04760" w:rsidRDefault="00A04760">
            <w:pPr>
              <w:pStyle w:val="TableText"/>
            </w:pPr>
            <w:r>
              <w:rPr>
                <w:rFonts w:hint="cs"/>
                <w:rtl/>
              </w:rPr>
              <w:t xml:space="preserve">2. </w:t>
            </w:r>
          </w:p>
        </w:tc>
        <w:tc>
          <w:tcPr>
            <w:tcW w:w="7143" w:type="dxa"/>
          </w:tcPr>
          <w:p w14:paraId="434558D3" w14:textId="066F313F" w:rsidR="00A04760" w:rsidRPr="00C34DE2" w:rsidRDefault="00A04760" w:rsidP="00C7064E">
            <w:pPr>
              <w:pStyle w:val="TableBlock"/>
            </w:pPr>
            <w:r>
              <w:rPr>
                <w:rFonts w:hint="cs"/>
                <w:rtl/>
              </w:rPr>
              <w:t xml:space="preserve">בסעיף 49(א) לחוק </w:t>
            </w:r>
            <w:r w:rsidR="007A7A38">
              <w:rPr>
                <w:rFonts w:hint="cs"/>
                <w:rtl/>
              </w:rPr>
              <w:t>העיקרי</w:t>
            </w:r>
            <w:r w:rsidR="00C7064E">
              <w:rPr>
                <w:rFonts w:hint="cs"/>
                <w:rtl/>
              </w:rPr>
              <w:t>,</w:t>
            </w:r>
            <w:r w:rsidR="007A7A3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אחרי פסקה </w:t>
            </w:r>
            <w:r w:rsidR="00CA6E5E">
              <w:rPr>
                <w:rFonts w:hint="cs"/>
                <w:rtl/>
              </w:rPr>
              <w:t>(9)</w:t>
            </w:r>
            <w:r>
              <w:rPr>
                <w:rFonts w:hint="cs"/>
                <w:rtl/>
              </w:rPr>
              <w:t xml:space="preserve"> יבוא: </w:t>
            </w:r>
          </w:p>
        </w:tc>
      </w:tr>
      <w:tr w:rsidR="00FD277D" w14:paraId="31523354" w14:textId="77777777" w:rsidTr="00C7064E">
        <w:trPr>
          <w:cantSplit/>
        </w:trPr>
        <w:tc>
          <w:tcPr>
            <w:tcW w:w="1871" w:type="dxa"/>
          </w:tcPr>
          <w:p w14:paraId="7323FE73" w14:textId="77777777" w:rsidR="00FD277D" w:rsidRDefault="00FD277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46E56C7A" w14:textId="77777777" w:rsidR="00FD277D" w:rsidRDefault="00FD277D" w:rsidP="00551665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14:paraId="6A7F50F8" w14:textId="71B7EF50" w:rsidR="00FD277D" w:rsidRDefault="00FD277D" w:rsidP="00C706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"(10)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חישב את עמלת ההפצה, בניגוד להוראות סעיף 32(ה)"</w:t>
            </w:r>
            <w:r w:rsidR="007A7A38">
              <w:rPr>
                <w:rFonts w:hint="cs"/>
                <w:rtl/>
              </w:rPr>
              <w:t>.</w:t>
            </w:r>
          </w:p>
        </w:tc>
      </w:tr>
    </w:tbl>
    <w:p w14:paraId="7F6961CA" w14:textId="4A31D6C9" w:rsidR="002D1EE3" w:rsidRDefault="002D1EE3" w:rsidP="00105B44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B95B43A" w14:textId="2634C41F" w:rsidR="004F78F9" w:rsidRDefault="004F78F9" w:rsidP="00C7064E">
      <w:pPr>
        <w:pStyle w:val="Hesber"/>
        <w:rPr>
          <w:rtl/>
        </w:rPr>
      </w:pPr>
      <w:r w:rsidRPr="006F0438">
        <w:rPr>
          <w:rFonts w:hint="cs"/>
          <w:rtl/>
        </w:rPr>
        <w:t>מטרת</w:t>
      </w:r>
      <w:r>
        <w:rPr>
          <w:rFonts w:hint="cs"/>
          <w:rtl/>
        </w:rPr>
        <w:t xml:space="preserve"> חוק </w:t>
      </w:r>
      <w:r w:rsidR="00C7064E">
        <w:rPr>
          <w:rFonts w:hint="cs"/>
          <w:rtl/>
        </w:rPr>
        <w:t xml:space="preserve">מוצע </w:t>
      </w:r>
      <w:r>
        <w:rPr>
          <w:rFonts w:hint="cs"/>
          <w:rtl/>
        </w:rPr>
        <w:t>זה היא למנוע הטיה מ</w:t>
      </w:r>
      <w:r w:rsidR="00893183">
        <w:rPr>
          <w:rFonts w:hint="cs"/>
          <w:rtl/>
        </w:rPr>
        <w:t xml:space="preserve">צד </w:t>
      </w:r>
      <w:r>
        <w:rPr>
          <w:rFonts w:hint="cs"/>
          <w:rtl/>
        </w:rPr>
        <w:t>הגופי</w:t>
      </w:r>
      <w:r w:rsidR="00551665">
        <w:rPr>
          <w:rFonts w:hint="cs"/>
          <w:rtl/>
        </w:rPr>
        <w:t>ם הפיננסי</w:t>
      </w:r>
      <w:r w:rsidR="00C7064E">
        <w:rPr>
          <w:rFonts w:hint="cs"/>
          <w:rtl/>
        </w:rPr>
        <w:t>י</w:t>
      </w:r>
      <w:r w:rsidR="00551665">
        <w:rPr>
          <w:rFonts w:hint="cs"/>
          <w:rtl/>
        </w:rPr>
        <w:t>ם כלפי סוכנים פנסיונים</w:t>
      </w:r>
      <w:r w:rsidR="00343E5F">
        <w:rPr>
          <w:rFonts w:hint="cs"/>
          <w:rtl/>
        </w:rPr>
        <w:t xml:space="preserve"> כדי</w:t>
      </w:r>
      <w:r w:rsidR="00551665">
        <w:rPr>
          <w:rFonts w:hint="cs"/>
          <w:rtl/>
        </w:rPr>
        <w:t xml:space="preserve"> שימליצו </w:t>
      </w:r>
      <w:r w:rsidR="007A7A38">
        <w:rPr>
          <w:rFonts w:hint="cs"/>
          <w:rtl/>
        </w:rPr>
        <w:t xml:space="preserve">ללקוחותיהם </w:t>
      </w:r>
      <w:r>
        <w:rPr>
          <w:rFonts w:hint="cs"/>
          <w:rtl/>
        </w:rPr>
        <w:t xml:space="preserve">על מוצרים פנסיונים, שדמי הניהול שלהם גבוהים. </w:t>
      </w:r>
    </w:p>
    <w:p w14:paraId="02BE866D" w14:textId="3CF749B5" w:rsidR="004F78F9" w:rsidRDefault="004F78F9" w:rsidP="00E07BC7">
      <w:pPr>
        <w:pStyle w:val="Hesber"/>
        <w:rPr>
          <w:rtl/>
        </w:rPr>
      </w:pPr>
      <w:r w:rsidRPr="006F0438">
        <w:rPr>
          <w:rFonts w:hint="cs"/>
          <w:rtl/>
        </w:rPr>
        <w:t>מוצרים</w:t>
      </w:r>
      <w:r>
        <w:rPr>
          <w:rFonts w:hint="cs"/>
          <w:rtl/>
        </w:rPr>
        <w:t xml:space="preserve"> פנסיונים ה</w:t>
      </w:r>
      <w:r w:rsidR="00E07BC7">
        <w:rPr>
          <w:rFonts w:hint="cs"/>
          <w:rtl/>
        </w:rPr>
        <w:t>ם מוצרים חיוניים לכל תושב</w:t>
      </w:r>
      <w:r>
        <w:rPr>
          <w:rFonts w:hint="cs"/>
          <w:rtl/>
        </w:rPr>
        <w:t xml:space="preserve"> </w:t>
      </w:r>
      <w:r w:rsidR="00E07BC7">
        <w:rPr>
          <w:rFonts w:hint="cs"/>
          <w:rtl/>
        </w:rPr>
        <w:t>ו</w:t>
      </w:r>
      <w:r>
        <w:rPr>
          <w:rFonts w:hint="cs"/>
          <w:rtl/>
        </w:rPr>
        <w:t xml:space="preserve">הם אמורים לסייע לו לחסוך בצורה מושכלת כספים לתקופה שלאחר מועד גיל הפרישה </w:t>
      </w:r>
      <w:r>
        <w:rPr>
          <w:rtl/>
        </w:rPr>
        <w:t>–</w:t>
      </w:r>
      <w:r>
        <w:rPr>
          <w:rFonts w:hint="cs"/>
          <w:rtl/>
        </w:rPr>
        <w:t xml:space="preserve"> תקופה המתארכת מדי שנה, נוכח העלייה בתוחלת החיים. </w:t>
      </w:r>
    </w:p>
    <w:p w14:paraId="0C6EDCFD" w14:textId="51549FB2" w:rsidR="004F78F9" w:rsidRDefault="004F78F9" w:rsidP="00551665">
      <w:pPr>
        <w:pStyle w:val="Hesber"/>
        <w:rPr>
          <w:rtl/>
        </w:rPr>
      </w:pPr>
      <w:r w:rsidRPr="006F0438">
        <w:rPr>
          <w:rFonts w:hint="cs"/>
          <w:rtl/>
        </w:rPr>
        <w:t>מורכבותם</w:t>
      </w:r>
      <w:r>
        <w:rPr>
          <w:rFonts w:hint="cs"/>
          <w:rtl/>
        </w:rPr>
        <w:t xml:space="preserve"> של המוצרים, מגוון האפשרויות והצורך בהתאמתם לנסי</w:t>
      </w:r>
      <w:r w:rsidR="00E07BC7">
        <w:rPr>
          <w:rFonts w:hint="cs"/>
          <w:rtl/>
        </w:rPr>
        <w:t>בותיו והעדפותיו של הלקוח מחייבים</w:t>
      </w:r>
      <w:r>
        <w:rPr>
          <w:rFonts w:hint="cs"/>
          <w:rtl/>
        </w:rPr>
        <w:t xml:space="preserve"> מומחיות והכרת הענף. לפיכך, הסוכנים הפנסיונים, מומחים בתחומם, </w:t>
      </w:r>
      <w:r w:rsidR="00343E5F">
        <w:rPr>
          <w:rFonts w:hint="cs"/>
          <w:rtl/>
        </w:rPr>
        <w:t xml:space="preserve">הם </w:t>
      </w:r>
      <w:r>
        <w:rPr>
          <w:rFonts w:hint="cs"/>
          <w:rtl/>
        </w:rPr>
        <w:t>חוליה חשובה בתהליך רכישת מוצרים פנסיונים על ידי הציבור. הסוכנים הפנסיונים אמורים להציג בפני לקוחותיהם את מבחר המוצרים הפנסיונים הקיימים ואת מב</w:t>
      </w:r>
      <w:r w:rsidR="00E07BC7">
        <w:rPr>
          <w:rFonts w:hint="cs"/>
          <w:rtl/>
        </w:rPr>
        <w:t>חר הגופים הפיננסי</w:t>
      </w:r>
      <w:r w:rsidR="00C7064E">
        <w:rPr>
          <w:rFonts w:hint="cs"/>
          <w:rtl/>
        </w:rPr>
        <w:t>י</w:t>
      </w:r>
      <w:r w:rsidR="00E07BC7">
        <w:rPr>
          <w:rFonts w:hint="cs"/>
          <w:rtl/>
        </w:rPr>
        <w:t>ם המציעים אותם</w:t>
      </w:r>
      <w:r>
        <w:rPr>
          <w:rFonts w:hint="cs"/>
          <w:rtl/>
        </w:rPr>
        <w:t xml:space="preserve"> (ככל שהסוכן הפ</w:t>
      </w:r>
      <w:r w:rsidR="007B0EBD">
        <w:rPr>
          <w:rFonts w:hint="cs"/>
          <w:rtl/>
        </w:rPr>
        <w:t>נ</w:t>
      </w:r>
      <w:r>
        <w:rPr>
          <w:rFonts w:hint="cs"/>
          <w:rtl/>
        </w:rPr>
        <w:t xml:space="preserve">סיוני אינו כבול לגוף פיננסי בודד, </w:t>
      </w:r>
      <w:r w:rsidR="00E07BC7">
        <w:rPr>
          <w:rFonts w:hint="cs"/>
          <w:rtl/>
        </w:rPr>
        <w:t>למשל כאשר הוא שכיר של אותו גוף)</w:t>
      </w:r>
      <w:r>
        <w:rPr>
          <w:rFonts w:hint="cs"/>
          <w:rtl/>
        </w:rPr>
        <w:t xml:space="preserve"> ועליהם לסייע ללקוח לבחור את המוצר המתאים לו </w:t>
      </w:r>
      <w:r w:rsidR="00343E5F">
        <w:rPr>
          <w:rFonts w:hint="cs"/>
          <w:rtl/>
        </w:rPr>
        <w:t>בהתאם להוראת</w:t>
      </w:r>
      <w:r>
        <w:rPr>
          <w:rFonts w:hint="cs"/>
          <w:rtl/>
        </w:rPr>
        <w:t xml:space="preserve"> סעיף 12 לחוק </w:t>
      </w:r>
      <w:r w:rsidRPr="00514740">
        <w:rPr>
          <w:rFonts w:hint="cs"/>
          <w:rtl/>
        </w:rPr>
        <w:t>הפיקוח</w:t>
      </w:r>
      <w:r w:rsidRPr="00514740">
        <w:rPr>
          <w:rtl/>
        </w:rPr>
        <w:t xml:space="preserve"> </w:t>
      </w:r>
      <w:r w:rsidRPr="00514740">
        <w:rPr>
          <w:rFonts w:hint="cs"/>
          <w:rtl/>
        </w:rPr>
        <w:t>על</w:t>
      </w:r>
      <w:r w:rsidRPr="00514740">
        <w:rPr>
          <w:rtl/>
        </w:rPr>
        <w:t xml:space="preserve"> </w:t>
      </w:r>
      <w:r w:rsidRPr="00514740">
        <w:rPr>
          <w:rFonts w:hint="cs"/>
          <w:rtl/>
        </w:rPr>
        <w:t>שירותים</w:t>
      </w:r>
      <w:r w:rsidRPr="00514740">
        <w:rPr>
          <w:rtl/>
        </w:rPr>
        <w:t xml:space="preserve"> </w:t>
      </w:r>
      <w:r w:rsidRPr="00514740">
        <w:rPr>
          <w:rFonts w:hint="cs"/>
          <w:rtl/>
        </w:rPr>
        <w:t>פיננסיים</w:t>
      </w:r>
      <w:r w:rsidRPr="00514740">
        <w:rPr>
          <w:rtl/>
        </w:rPr>
        <w:t xml:space="preserve"> (</w:t>
      </w:r>
      <w:r w:rsidRPr="00514740">
        <w:rPr>
          <w:rFonts w:hint="cs"/>
          <w:rtl/>
        </w:rPr>
        <w:t>ייעוץ</w:t>
      </w:r>
      <w:r w:rsidRPr="00514740">
        <w:rPr>
          <w:rtl/>
        </w:rPr>
        <w:t xml:space="preserve">, </w:t>
      </w:r>
      <w:r w:rsidRPr="00514740">
        <w:rPr>
          <w:rFonts w:hint="cs"/>
          <w:rtl/>
        </w:rPr>
        <w:t>שיווק</w:t>
      </w:r>
      <w:r w:rsidRPr="00514740">
        <w:rPr>
          <w:rtl/>
        </w:rPr>
        <w:t xml:space="preserve"> </w:t>
      </w:r>
      <w:r w:rsidRPr="00514740">
        <w:rPr>
          <w:rFonts w:hint="cs"/>
          <w:rtl/>
        </w:rPr>
        <w:t>ומערכת</w:t>
      </w:r>
      <w:r w:rsidRPr="00514740">
        <w:rPr>
          <w:rtl/>
        </w:rPr>
        <w:t xml:space="preserve"> </w:t>
      </w:r>
      <w:r w:rsidRPr="00514740">
        <w:rPr>
          <w:rFonts w:hint="cs"/>
          <w:rtl/>
        </w:rPr>
        <w:t>סליקה</w:t>
      </w:r>
      <w:r w:rsidRPr="00514740">
        <w:rPr>
          <w:rtl/>
        </w:rPr>
        <w:t xml:space="preserve"> </w:t>
      </w:r>
      <w:r w:rsidRPr="00514740">
        <w:rPr>
          <w:rFonts w:hint="cs"/>
          <w:rtl/>
        </w:rPr>
        <w:t>פנסיוניים</w:t>
      </w:r>
      <w:r w:rsidRPr="00514740">
        <w:rPr>
          <w:rtl/>
        </w:rPr>
        <w:t xml:space="preserve">), </w:t>
      </w:r>
      <w:proofErr w:type="spellStart"/>
      <w:r w:rsidR="00343E5F">
        <w:rPr>
          <w:rFonts w:hint="cs"/>
          <w:rtl/>
        </w:rPr>
        <w:t>ה</w:t>
      </w:r>
      <w:r w:rsidRPr="00514740">
        <w:rPr>
          <w:rFonts w:hint="cs"/>
          <w:rtl/>
        </w:rPr>
        <w:t>תשס</w:t>
      </w:r>
      <w:r w:rsidRPr="00514740">
        <w:rPr>
          <w:rtl/>
        </w:rPr>
        <w:t>"</w:t>
      </w:r>
      <w:r w:rsidRPr="00514740">
        <w:rPr>
          <w:rFonts w:hint="cs"/>
          <w:rtl/>
        </w:rPr>
        <w:t>ה</w:t>
      </w:r>
      <w:proofErr w:type="spellEnd"/>
      <w:r w:rsidR="00A52034">
        <w:rPr>
          <w:rFonts w:hint="cs"/>
          <w:rtl/>
        </w:rPr>
        <w:t>–</w:t>
      </w:r>
      <w:r w:rsidRPr="00514740">
        <w:rPr>
          <w:rtl/>
        </w:rPr>
        <w:t>2005</w:t>
      </w:r>
      <w:r>
        <w:rPr>
          <w:rFonts w:hint="cs"/>
          <w:rtl/>
        </w:rPr>
        <w:t>.</w:t>
      </w:r>
    </w:p>
    <w:p w14:paraId="3B8345C7" w14:textId="6E5A361A" w:rsidR="004F78F9" w:rsidRDefault="004F78F9" w:rsidP="00551665">
      <w:pPr>
        <w:pStyle w:val="Hesber"/>
        <w:rPr>
          <w:rtl/>
        </w:rPr>
      </w:pPr>
      <w:r w:rsidRPr="006F0438">
        <w:rPr>
          <w:rFonts w:hint="cs"/>
          <w:rtl/>
        </w:rPr>
        <w:t>סוכנים</w:t>
      </w:r>
      <w:r>
        <w:rPr>
          <w:rFonts w:hint="cs"/>
          <w:rtl/>
        </w:rPr>
        <w:t xml:space="preserve"> </w:t>
      </w:r>
      <w:r w:rsidR="007B0EBD">
        <w:rPr>
          <w:rFonts w:hint="cs"/>
          <w:rtl/>
        </w:rPr>
        <w:t xml:space="preserve">אלה </w:t>
      </w:r>
      <w:r>
        <w:rPr>
          <w:rFonts w:hint="cs"/>
          <w:rtl/>
        </w:rPr>
        <w:t xml:space="preserve">מסייעים </w:t>
      </w:r>
      <w:r w:rsidR="00343E5F">
        <w:rPr>
          <w:rFonts w:hint="cs"/>
          <w:rtl/>
        </w:rPr>
        <w:t xml:space="preserve">גם </w:t>
      </w:r>
      <w:r>
        <w:rPr>
          <w:rFonts w:hint="cs"/>
          <w:rtl/>
        </w:rPr>
        <w:t>בתהליכים הלוגיסטי</w:t>
      </w:r>
      <w:r w:rsidR="007B0EBD">
        <w:rPr>
          <w:rFonts w:hint="cs"/>
          <w:rtl/>
        </w:rPr>
        <w:t>י</w:t>
      </w:r>
      <w:r>
        <w:rPr>
          <w:rFonts w:hint="cs"/>
          <w:rtl/>
        </w:rPr>
        <w:t>ם ובממשקים השו</w:t>
      </w:r>
      <w:r w:rsidR="00BD1056">
        <w:rPr>
          <w:rFonts w:hint="cs"/>
          <w:rtl/>
        </w:rPr>
        <w:t>נים של הלקוח עם הגופים הפיננסי</w:t>
      </w:r>
      <w:r w:rsidR="007B0EBD">
        <w:rPr>
          <w:rFonts w:hint="cs"/>
          <w:rtl/>
        </w:rPr>
        <w:t>י</w:t>
      </w:r>
      <w:r w:rsidR="00BD1056">
        <w:rPr>
          <w:rFonts w:hint="cs"/>
          <w:rtl/>
        </w:rPr>
        <w:t xml:space="preserve">ם. </w:t>
      </w:r>
      <w:r>
        <w:rPr>
          <w:rFonts w:hint="cs"/>
          <w:rtl/>
        </w:rPr>
        <w:t xml:space="preserve">התגמול, הניתן לסוכנים הפנסיונים בעבור שירותיהם, מגיע </w:t>
      </w:r>
      <w:r w:rsidR="007B0EBD">
        <w:rPr>
          <w:rFonts w:hint="cs"/>
          <w:rtl/>
        </w:rPr>
        <w:t>מ</w:t>
      </w:r>
      <w:r>
        <w:rPr>
          <w:rFonts w:hint="cs"/>
          <w:rtl/>
        </w:rPr>
        <w:t xml:space="preserve">הגוף הפיננסי, שמוצרו נמכר </w:t>
      </w:r>
      <w:r>
        <w:rPr>
          <w:rFonts w:hint="cs"/>
          <w:rtl/>
        </w:rPr>
        <w:lastRenderedPageBreak/>
        <w:t xml:space="preserve">במסגרת תהליך השיווק. </w:t>
      </w:r>
    </w:p>
    <w:p w14:paraId="6F0E0828" w14:textId="3F711A4B" w:rsidR="004F78F9" w:rsidRDefault="004F78F9" w:rsidP="00E07BC7">
      <w:pPr>
        <w:pStyle w:val="Hesber"/>
        <w:rPr>
          <w:rtl/>
        </w:rPr>
      </w:pPr>
      <w:r>
        <w:rPr>
          <w:rFonts w:hint="cs"/>
          <w:rtl/>
        </w:rPr>
        <w:t xml:space="preserve">שיטת התגמול </w:t>
      </w:r>
      <w:r w:rsidR="00E07BC7">
        <w:rPr>
          <w:rFonts w:hint="cs"/>
          <w:rtl/>
        </w:rPr>
        <w:t xml:space="preserve">הרווחת </w:t>
      </w:r>
      <w:r>
        <w:rPr>
          <w:rFonts w:hint="cs"/>
          <w:rtl/>
        </w:rPr>
        <w:t>של הסוכנים הפנסיונים מתבססת על אחוז מתוך דמי הניהול המשולמים על ידי הלקוח לגוף הפיננסי. שיטה זו המונהגת על ידי הגופים הפיננסי</w:t>
      </w:r>
      <w:r w:rsidR="00C7064E">
        <w:rPr>
          <w:rFonts w:hint="cs"/>
          <w:rtl/>
        </w:rPr>
        <w:t>י</w:t>
      </w:r>
      <w:r>
        <w:rPr>
          <w:rFonts w:hint="cs"/>
          <w:rtl/>
        </w:rPr>
        <w:t>ם יוצרת תמריץ עבור הסוכנים ה</w:t>
      </w:r>
      <w:r w:rsidR="00E07BC7">
        <w:rPr>
          <w:rFonts w:hint="cs"/>
          <w:rtl/>
        </w:rPr>
        <w:t>פנסיונים להמליץ דווקא על מוצרים</w:t>
      </w:r>
      <w:r>
        <w:rPr>
          <w:rFonts w:hint="cs"/>
          <w:rtl/>
        </w:rPr>
        <w:t xml:space="preserve"> שדמי הניהול שלהם גבוהים יותר. נורמה בעייתית זו</w:t>
      </w:r>
      <w:r w:rsidR="00E07BC7">
        <w:rPr>
          <w:rFonts w:hint="cs"/>
          <w:rtl/>
        </w:rPr>
        <w:t xml:space="preserve"> מביאה</w:t>
      </w:r>
      <w:r>
        <w:rPr>
          <w:rFonts w:hint="cs"/>
          <w:rtl/>
        </w:rPr>
        <w:t xml:space="preserve"> לעיתים </w:t>
      </w:r>
      <w:r w:rsidR="00E07BC7">
        <w:rPr>
          <w:rFonts w:hint="cs"/>
          <w:rtl/>
        </w:rPr>
        <w:t>את</w:t>
      </w:r>
      <w:r>
        <w:rPr>
          <w:rFonts w:hint="cs"/>
          <w:rtl/>
        </w:rPr>
        <w:t xml:space="preserve"> הסוכנים הפנסיונים להמליץ על מוצרים יקרים יותר, אם ברצותם לזכות בתגמול כלשהו על עבודתם. </w:t>
      </w:r>
      <w:r w:rsidR="00E07BC7">
        <w:rPr>
          <w:rFonts w:hint="cs"/>
          <w:rtl/>
        </w:rPr>
        <w:t xml:space="preserve">לכן, </w:t>
      </w:r>
      <w:r w:rsidR="00343E5F">
        <w:rPr>
          <w:rFonts w:hint="cs"/>
          <w:rtl/>
        </w:rPr>
        <w:t>מדובר ב</w:t>
      </w:r>
      <w:r>
        <w:rPr>
          <w:rFonts w:hint="cs"/>
          <w:rtl/>
        </w:rPr>
        <w:t>עיוות, הפוגע בציבור החוסכים, ו</w:t>
      </w:r>
      <w:r w:rsidR="00E07BC7">
        <w:rPr>
          <w:rFonts w:hint="cs"/>
          <w:rtl/>
        </w:rPr>
        <w:t>נכון</w:t>
      </w:r>
      <w:r>
        <w:rPr>
          <w:rFonts w:hint="cs"/>
          <w:rtl/>
        </w:rPr>
        <w:t xml:space="preserve"> לתקנו.</w:t>
      </w:r>
    </w:p>
    <w:p w14:paraId="6F84E4AB" w14:textId="71D71E4E" w:rsidR="00A03C15" w:rsidRDefault="004A3BB9" w:rsidP="00551665">
      <w:pPr>
        <w:pStyle w:val="Hesber"/>
        <w:rPr>
          <w:rtl/>
        </w:rPr>
      </w:pPr>
      <w:r>
        <w:rPr>
          <w:rFonts w:hint="cs"/>
          <w:rtl/>
        </w:rPr>
        <w:t>לפיכך</w:t>
      </w:r>
      <w:r w:rsidR="00343E5F">
        <w:rPr>
          <w:rFonts w:hint="cs"/>
          <w:rtl/>
        </w:rPr>
        <w:t>,</w:t>
      </w:r>
      <w:r w:rsidR="00A03C15">
        <w:rPr>
          <w:rFonts w:hint="cs"/>
          <w:rtl/>
        </w:rPr>
        <w:t xml:space="preserve"> מוצע שעמלת ההפצה</w:t>
      </w:r>
      <w:r>
        <w:rPr>
          <w:rFonts w:hint="cs"/>
          <w:rtl/>
        </w:rPr>
        <w:t xml:space="preserve"> המשולמת לסוכן</w:t>
      </w:r>
      <w:r w:rsidR="00A03C15">
        <w:rPr>
          <w:rFonts w:hint="cs"/>
          <w:rtl/>
        </w:rPr>
        <w:t xml:space="preserve"> לא תחושב בזיקה לדמי הניהול שחברה מנהלת גובה מעמיתיה. </w:t>
      </w:r>
    </w:p>
    <w:p w14:paraId="572F54DA" w14:textId="4153B8E8" w:rsidR="00C7064E" w:rsidRDefault="00C7064E" w:rsidP="00551665">
      <w:pPr>
        <w:pStyle w:val="Hesber"/>
        <w:rPr>
          <w:rtl/>
        </w:rPr>
      </w:pPr>
    </w:p>
    <w:p w14:paraId="62C882ED" w14:textId="77777777" w:rsidR="00C7064E" w:rsidRDefault="00C7064E" w:rsidP="00551665">
      <w:pPr>
        <w:pStyle w:val="Hesber"/>
        <w:rPr>
          <w:rtl/>
        </w:rPr>
      </w:pPr>
    </w:p>
    <w:p w14:paraId="02A7AB38" w14:textId="77777777" w:rsidR="00C7064E" w:rsidRPr="00557D2C" w:rsidRDefault="00C7064E" w:rsidP="007D273A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14:paraId="756030F9" w14:textId="77777777" w:rsidR="00C7064E" w:rsidRPr="00557D2C" w:rsidRDefault="00C7064E" w:rsidP="007D273A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14:paraId="0643B20E" w14:textId="77777777" w:rsidR="00C7064E" w:rsidRPr="00557D2C" w:rsidRDefault="00C7064E" w:rsidP="007D273A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14:paraId="722713FE" w14:textId="328FA5A4" w:rsidR="00C7064E" w:rsidRDefault="0026428A" w:rsidP="0026428A">
      <w:pPr>
        <w:pStyle w:val="Hesber"/>
        <w:rPr>
          <w:rtl/>
        </w:rPr>
      </w:pPr>
      <w:r>
        <w:rPr>
          <w:rFonts w:hint="cs"/>
          <w:rtl/>
        </w:rPr>
        <w:t>כ"ג</w:t>
      </w:r>
      <w:r w:rsidR="00C7064E">
        <w:rPr>
          <w:rFonts w:hint="cs"/>
          <w:rtl/>
        </w:rPr>
        <w:t xml:space="preserve"> בטבת התשע"ו</w:t>
      </w:r>
      <w:r w:rsidR="00C7064E" w:rsidRPr="00557D2C">
        <w:rPr>
          <w:rFonts w:hint="cs"/>
          <w:rtl/>
        </w:rPr>
        <w:t xml:space="preserve"> </w:t>
      </w:r>
      <w:r w:rsidR="00C7064E" w:rsidRPr="00557D2C">
        <w:rPr>
          <w:rtl/>
        </w:rPr>
        <w:t>–</w:t>
      </w:r>
      <w:r w:rsidR="00C7064E">
        <w:rPr>
          <w:rFonts w:hint="cs"/>
          <w:rtl/>
        </w:rPr>
        <w:t xml:space="preserve"> </w:t>
      </w:r>
      <w:r>
        <w:rPr>
          <w:rFonts w:hint="cs"/>
          <w:rtl/>
        </w:rPr>
        <w:t>4.1.16</w:t>
      </w:r>
    </w:p>
    <w:p w14:paraId="1A58ADFE" w14:textId="1059E56C" w:rsidR="004F78F9" w:rsidRDefault="004F78F9" w:rsidP="004F78F9">
      <w:pPr>
        <w:pStyle w:val="HeadDivreiHesber"/>
        <w:rPr>
          <w:rtl/>
        </w:rPr>
      </w:pPr>
    </w:p>
    <w:p w14:paraId="7F6961CB" w14:textId="77777777" w:rsidR="00E13C27" w:rsidRDefault="00E13C27" w:rsidP="00E13C27">
      <w:pPr>
        <w:pStyle w:val="Hesber"/>
        <w:rPr>
          <w:rtl/>
        </w:rPr>
      </w:pPr>
    </w:p>
    <w:sectPr w:rsidR="00E13C27" w:rsidSect="001207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D15BDE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0399" w14:textId="77777777" w:rsidR="00D15BDE" w:rsidRDefault="00D15B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DCC0DDE" w14:textId="60FF5BC9" w:rsidR="004F78F9" w:rsidRDefault="004F78F9" w:rsidP="00D31B91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361879">
        <w:rPr>
          <w:rFonts w:hint="cs"/>
          <w:rtl/>
        </w:rPr>
        <w:t>ס</w:t>
      </w:r>
      <w:r w:rsidRPr="00361879">
        <w:rPr>
          <w:rtl/>
        </w:rPr>
        <w:t>"</w:t>
      </w:r>
      <w:r w:rsidRPr="00361879">
        <w:rPr>
          <w:rFonts w:hint="cs"/>
          <w:rtl/>
        </w:rPr>
        <w:t>ח</w:t>
      </w:r>
      <w:r w:rsidRPr="00361879">
        <w:rPr>
          <w:rtl/>
        </w:rPr>
        <w:t xml:space="preserve"> </w:t>
      </w:r>
      <w:proofErr w:type="spellStart"/>
      <w:r w:rsidR="00D31B91">
        <w:rPr>
          <w:rFonts w:hint="cs"/>
          <w:rtl/>
        </w:rPr>
        <w:t>ה</w:t>
      </w:r>
      <w:r w:rsidRPr="00361879">
        <w:rPr>
          <w:rFonts w:hint="cs"/>
          <w:rtl/>
        </w:rPr>
        <w:t>תשס</w:t>
      </w:r>
      <w:r w:rsidRPr="00361879">
        <w:rPr>
          <w:rtl/>
        </w:rPr>
        <w:t>"</w:t>
      </w:r>
      <w:r w:rsidRPr="00361879">
        <w:rPr>
          <w:rFonts w:hint="cs"/>
          <w:rtl/>
        </w:rPr>
        <w:t>ה</w:t>
      </w:r>
      <w:proofErr w:type="spellEnd"/>
      <w:r w:rsidR="00D31B91">
        <w:rPr>
          <w:rFonts w:hint="cs"/>
          <w:rtl/>
        </w:rPr>
        <w:t>, עמ' 889.</w:t>
      </w:r>
      <w:r w:rsidRPr="00361879">
        <w:rPr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20F40" w14:textId="77777777" w:rsidR="00D15BDE" w:rsidRDefault="00D15B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0BDBB" w14:textId="77777777" w:rsidR="00D15BDE" w:rsidRDefault="00D15BD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CAC2" w14:textId="77777777" w:rsidR="00D15BDE" w:rsidRDefault="00D15B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82BC0"/>
    <w:multiLevelType w:val="hybridMultilevel"/>
    <w:tmpl w:val="341ECABE"/>
    <w:lvl w:ilvl="0" w:tplc="3ACAE448">
      <w:start w:val="1"/>
      <w:numFmt w:val="hebrew1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224"/>
    <w:rsid w:val="0007681A"/>
    <w:rsid w:val="000A542E"/>
    <w:rsid w:val="00102B6B"/>
    <w:rsid w:val="001052D4"/>
    <w:rsid w:val="00105B4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428A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43E5F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3ABB"/>
    <w:rsid w:val="00416B4D"/>
    <w:rsid w:val="00417CFC"/>
    <w:rsid w:val="00422532"/>
    <w:rsid w:val="004A06DC"/>
    <w:rsid w:val="004A3BB9"/>
    <w:rsid w:val="004B24ED"/>
    <w:rsid w:val="004B6625"/>
    <w:rsid w:val="004D2D82"/>
    <w:rsid w:val="004D3876"/>
    <w:rsid w:val="004E4552"/>
    <w:rsid w:val="004E6CDF"/>
    <w:rsid w:val="004F78F9"/>
    <w:rsid w:val="00551665"/>
    <w:rsid w:val="00553C9D"/>
    <w:rsid w:val="00562A66"/>
    <w:rsid w:val="005B064E"/>
    <w:rsid w:val="005D51AE"/>
    <w:rsid w:val="00603B06"/>
    <w:rsid w:val="0062674B"/>
    <w:rsid w:val="006363B2"/>
    <w:rsid w:val="00644940"/>
    <w:rsid w:val="006818A9"/>
    <w:rsid w:val="006A2D81"/>
    <w:rsid w:val="006A69AD"/>
    <w:rsid w:val="006C1D0D"/>
    <w:rsid w:val="006F0438"/>
    <w:rsid w:val="0070601E"/>
    <w:rsid w:val="00712C72"/>
    <w:rsid w:val="00735FE9"/>
    <w:rsid w:val="00763CAA"/>
    <w:rsid w:val="00765F66"/>
    <w:rsid w:val="0078664F"/>
    <w:rsid w:val="007A7A38"/>
    <w:rsid w:val="007B0EBD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3183"/>
    <w:rsid w:val="00895449"/>
    <w:rsid w:val="00897879"/>
    <w:rsid w:val="008A6870"/>
    <w:rsid w:val="008C2DDC"/>
    <w:rsid w:val="008C5DAE"/>
    <w:rsid w:val="008C7516"/>
    <w:rsid w:val="008E6EC7"/>
    <w:rsid w:val="008F0D63"/>
    <w:rsid w:val="008F1308"/>
    <w:rsid w:val="008F2C35"/>
    <w:rsid w:val="008F6665"/>
    <w:rsid w:val="00902C93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03C15"/>
    <w:rsid w:val="00A04760"/>
    <w:rsid w:val="00A14672"/>
    <w:rsid w:val="00A26BD6"/>
    <w:rsid w:val="00A443CF"/>
    <w:rsid w:val="00A52034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D1056"/>
    <w:rsid w:val="00BF148D"/>
    <w:rsid w:val="00C23B1A"/>
    <w:rsid w:val="00C2653B"/>
    <w:rsid w:val="00C310EB"/>
    <w:rsid w:val="00C7064E"/>
    <w:rsid w:val="00C9176A"/>
    <w:rsid w:val="00CA6E5E"/>
    <w:rsid w:val="00CF1AA2"/>
    <w:rsid w:val="00D15BDE"/>
    <w:rsid w:val="00D17774"/>
    <w:rsid w:val="00D31B91"/>
    <w:rsid w:val="00D45979"/>
    <w:rsid w:val="00D63620"/>
    <w:rsid w:val="00D8410D"/>
    <w:rsid w:val="00D867D7"/>
    <w:rsid w:val="00DB7060"/>
    <w:rsid w:val="00DE3153"/>
    <w:rsid w:val="00E06736"/>
    <w:rsid w:val="00E07BC7"/>
    <w:rsid w:val="00E13C27"/>
    <w:rsid w:val="00E33BBD"/>
    <w:rsid w:val="00E34B69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C0947"/>
    <w:rsid w:val="00ED4A6F"/>
    <w:rsid w:val="00EF3A3A"/>
    <w:rsid w:val="00EF4EFC"/>
    <w:rsid w:val="00F628D6"/>
    <w:rsid w:val="00F67051"/>
    <w:rsid w:val="00F86A1E"/>
    <w:rsid w:val="00FA5E88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C7064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C7064E"/>
    <w:rPr>
      <w:sz w:val="36"/>
      <w:szCs w:val="52"/>
    </w:rPr>
  </w:style>
  <w:style w:type="paragraph" w:customStyle="1" w:styleId="Cover3-Haknesset">
    <w:name w:val="Cover 3-Haknesset"/>
    <w:basedOn w:val="Cover1-Reshumot"/>
    <w:rsid w:val="00C7064E"/>
    <w:rPr>
      <w:b/>
      <w:bCs/>
      <w:spacing w:val="60"/>
    </w:rPr>
  </w:style>
  <w:style w:type="paragraph" w:customStyle="1" w:styleId="Cover4-Date">
    <w:name w:val="Cover 4-Date"/>
    <w:basedOn w:val="a"/>
    <w:rsid w:val="00C7064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C7064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C7064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C7064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C7064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C7064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C7064E"/>
  </w:style>
  <w:style w:type="paragraph" w:customStyle="1" w:styleId="TableBlock">
    <w:name w:val="Table Block"/>
    <w:basedOn w:val="TableText"/>
    <w:rsid w:val="00C7064E"/>
    <w:pPr>
      <w:ind w:right="0"/>
      <w:jc w:val="both"/>
    </w:pPr>
  </w:style>
  <w:style w:type="paragraph" w:customStyle="1" w:styleId="TableHead">
    <w:name w:val="Table Head"/>
    <w:basedOn w:val="TableText"/>
    <w:rsid w:val="00C7064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C7064E"/>
  </w:style>
  <w:style w:type="paragraph" w:customStyle="1" w:styleId="Hesber">
    <w:name w:val="Hesber"/>
    <w:basedOn w:val="a"/>
    <w:rsid w:val="00C7064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C7064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rsid w:val="00C7064E"/>
    <w:rPr>
      <w:vertAlign w:val="superscript"/>
    </w:rPr>
  </w:style>
  <w:style w:type="paragraph" w:customStyle="1" w:styleId="HesberHeading">
    <w:name w:val="Hesber Heading"/>
    <w:basedOn w:val="Hesber"/>
    <w:rsid w:val="00C7064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C7064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C7064E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C7064E"/>
    <w:rPr>
      <w:vertAlign w:val="superscript"/>
    </w:rPr>
  </w:style>
  <w:style w:type="paragraph" w:customStyle="1" w:styleId="TableBlockOutdent">
    <w:name w:val="Table BlockOutdent"/>
    <w:basedOn w:val="TableBlock"/>
    <w:rsid w:val="00C7064E"/>
    <w:pPr>
      <w:ind w:left="624" w:hanging="624"/>
    </w:pPr>
  </w:style>
  <w:style w:type="paragraph" w:styleId="a8">
    <w:name w:val="header"/>
    <w:basedOn w:val="a"/>
    <w:rsid w:val="00C7064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7064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C7064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C7064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C7064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rsid w:val="004F78F9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C7064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C7064E"/>
    <w:rPr>
      <w:sz w:val="36"/>
      <w:szCs w:val="52"/>
    </w:rPr>
  </w:style>
  <w:style w:type="paragraph" w:customStyle="1" w:styleId="Cover3-Haknesset">
    <w:name w:val="Cover 3-Haknesset"/>
    <w:basedOn w:val="Cover1-Reshumot"/>
    <w:rsid w:val="00C7064E"/>
    <w:rPr>
      <w:b/>
      <w:bCs/>
      <w:spacing w:val="60"/>
    </w:rPr>
  </w:style>
  <w:style w:type="paragraph" w:customStyle="1" w:styleId="Cover4-Date">
    <w:name w:val="Cover 4-Date"/>
    <w:basedOn w:val="a"/>
    <w:rsid w:val="00C7064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C7064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C7064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C7064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C7064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C7064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C7064E"/>
  </w:style>
  <w:style w:type="paragraph" w:customStyle="1" w:styleId="TableBlock">
    <w:name w:val="Table Block"/>
    <w:basedOn w:val="TableText"/>
    <w:rsid w:val="00C7064E"/>
    <w:pPr>
      <w:ind w:right="0"/>
      <w:jc w:val="both"/>
    </w:pPr>
  </w:style>
  <w:style w:type="paragraph" w:customStyle="1" w:styleId="TableHead">
    <w:name w:val="Table Head"/>
    <w:basedOn w:val="TableText"/>
    <w:rsid w:val="00C7064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C7064E"/>
  </w:style>
  <w:style w:type="paragraph" w:customStyle="1" w:styleId="Hesber">
    <w:name w:val="Hesber"/>
    <w:basedOn w:val="a"/>
    <w:rsid w:val="00C7064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rsid w:val="00C7064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rsid w:val="00C7064E"/>
    <w:rPr>
      <w:vertAlign w:val="superscript"/>
    </w:rPr>
  </w:style>
  <w:style w:type="paragraph" w:customStyle="1" w:styleId="HesberHeading">
    <w:name w:val="Hesber Heading"/>
    <w:basedOn w:val="Hesber"/>
    <w:rsid w:val="00C7064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C7064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C7064E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C7064E"/>
    <w:rPr>
      <w:vertAlign w:val="superscript"/>
    </w:rPr>
  </w:style>
  <w:style w:type="paragraph" w:customStyle="1" w:styleId="TableBlockOutdent">
    <w:name w:val="Table BlockOutdent"/>
    <w:basedOn w:val="TableBlock"/>
    <w:rsid w:val="00C7064E"/>
    <w:pPr>
      <w:ind w:left="624" w:hanging="624"/>
    </w:pPr>
  </w:style>
  <w:style w:type="paragraph" w:styleId="a8">
    <w:name w:val="header"/>
    <w:basedOn w:val="a"/>
    <w:rsid w:val="00C7064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7064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C7064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C7064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C7064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rsid w:val="004F78F9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08F38-1D4E-4253-B35B-C4613C2B9657}"/>
</file>

<file path=customXml/itemProps2.xml><?xml version="1.0" encoding="utf-8"?>
<ds:datastoreItem xmlns:ds="http://schemas.openxmlformats.org/officeDocument/2006/customXml" ds:itemID="{53CDC32B-DD97-493E-9196-3EF77D6F9C7D}"/>
</file>

<file path=customXml/itemProps3.xml><?xml version="1.0" encoding="utf-8"?>
<ds:datastoreItem xmlns:ds="http://schemas.openxmlformats.org/officeDocument/2006/customXml" ds:itemID="{88F4AFE3-9455-419C-8851-785A55F44517}"/>
</file>

<file path=customXml/itemProps4.xml><?xml version="1.0" encoding="utf-8"?>
<ds:datastoreItem xmlns:ds="http://schemas.openxmlformats.org/officeDocument/2006/customXml" ds:itemID="{5BD3354A-4B7B-4916-95F5-179AC3ACF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1930</Characters>
  <Application>Microsoft Office Word</Application>
  <DocSecurity>0</DocSecurity>
  <Lines>55</Lines>
  <Paragraphs>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נוסח הצעת חוק הפיקוח על שירותים פיננסיים (קופות גמל) (תיקון - ניתוק חישוב עמלת ההפצה מדמי הניהול), התשע"ו-2016 (פ/2425/20)</vt:lpstr>
      <vt:lpstr>רשומות</vt:lpstr>
    </vt:vector>
  </TitlesOfParts>
  <Company>Knesset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נוסח הצעת חוק הפיקוח על שירותים פיננסיים (קופות גמל) (תיקון - ניתוק חישוב עמלת ההפצה מדמי הניהול), התשע"ו-2016 (פ/2425/20)</dc:title>
  <dc:creator>מיקה צור</dc:creator>
  <cp:lastModifiedBy>מיכל יצחקוב</cp:lastModifiedBy>
  <cp:revision>2</cp:revision>
  <cp:lastPrinted>2015-10-26T16:39:00Z</cp:lastPrinted>
  <dcterms:created xsi:type="dcterms:W3CDTF">2016-06-15T07:52:00Z</dcterms:created>
  <dcterms:modified xsi:type="dcterms:W3CDTF">2016-06-15T07:52:00Z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88</vt:r8>
  </property>
  <property fmtid="{D5CDD505-2E9C-101B-9397-08002B2CF9AE}" pid="5" name="SanhedrinItemID">
    <vt:r8>2004090</vt:r8>
  </property>
  <property fmtid="{D5CDD505-2E9C-101B-9397-08002B2CF9AE}" pid="6" name="ContentType">
    <vt:lpwstr>בסיס</vt:lpwstr>
  </property>
  <property fmtid="{D5CDD505-2E9C-101B-9397-08002B2CF9AE}" pid="7" name="SDCategoryID">
    <vt:lpwstr>fc83715de5a5;#</vt:lpwstr>
  </property>
  <property fmtid="{D5CDD505-2E9C-101B-9397-08002B2CF9AE}" pid="8" name="z">
    <vt:lpwstr>#RowsetSchema</vt:lpwstr>
  </property>
  <property fmtid="{D5CDD505-2E9C-101B-9397-08002B2CF9AE}" pid="9" name="Author">
    <vt:lpwstr>1210;#מיכל יצחקוב</vt:lpwstr>
  </property>
  <property fmtid="{D5CDD505-2E9C-101B-9397-08002B2CF9AE}" pid="10" name="FileLeafRef">
    <vt:lpwstr>225;#00847516.docx</vt:lpwstr>
  </property>
  <property fmtid="{D5CDD505-2E9C-101B-9397-08002B2CF9AE}" pid="11" name="Modified_x0020_By">
    <vt:lpwstr>LAN_KNESSET\michali</vt:lpwstr>
  </property>
  <property fmtid="{D5CDD505-2E9C-101B-9397-08002B2CF9AE}" pid="12" name="Created_x0020_By">
    <vt:lpwstr>LAN_KNESSET\michali</vt:lpwstr>
  </property>
  <property fmtid="{D5CDD505-2E9C-101B-9397-08002B2CF9AE}" pid="13" name="File_x0020_Type">
    <vt:lpwstr>docx</vt:lpwstr>
  </property>
  <property fmtid="{D5CDD505-2E9C-101B-9397-08002B2CF9AE}" pid="14" name="AutoNumber">
    <vt:lpwstr>00847516</vt:lpwstr>
  </property>
  <property fmtid="{D5CDD505-2E9C-101B-9397-08002B2CF9AE}" pid="15" name="SDCategories">
    <vt:lpwstr>:ועדות:ועדת הכספים:ספר סיכום הכנסת ה- 20 - תיקי ועדה:הצעות חוק פרטיות:(תיק 10) - הצעת חוק הפיקוח על שירותים פיננסיים (קופות גמל) (תיקון - ניתוק חישוב עמלת ההפצה מדמי הניהול), התשע"ו-2016 (פ/2425/20) - 3.2.16;#</vt:lpwstr>
  </property>
  <property fmtid="{D5CDD505-2E9C-101B-9397-08002B2CF9AE}" pid="16" name="SDAuthor">
    <vt:lpwstr>מיכל יצחקוב</vt:lpwstr>
  </property>
  <property fmtid="{D5CDD505-2E9C-101B-9397-08002B2CF9AE}" pid="17" name="SDDocDate">
    <vt:lpwstr>24/02/2016</vt:lpwstr>
  </property>
  <property fmtid="{D5CDD505-2E9C-101B-9397-08002B2CF9AE}" pid="18" name="SDHebDate">
    <vt:lpwstr>ט"ו באדר א', התשע"ו</vt:lpwstr>
  </property>
  <property fmtid="{D5CDD505-2E9C-101B-9397-08002B2CF9AE}" pid="19" name="SDImportance">
    <vt:lpwstr>0</vt:lpwstr>
  </property>
  <property fmtid="{D5CDD505-2E9C-101B-9397-08002B2CF9AE}" pid="20" name="SDDocumentSource">
    <vt:lpwstr>OfficeAddIn</vt:lpwstr>
  </property>
  <property fmtid="{D5CDD505-2E9C-101B-9397-08002B2CF9AE}" pid="21" name="ID">
    <vt:lpwstr>225</vt:lpwstr>
  </property>
  <property fmtid="{D5CDD505-2E9C-101B-9397-08002B2CF9AE}" pid="22" name="Created">
    <vt:lpwstr>24/02/2016</vt:lpwstr>
  </property>
  <property fmtid="{D5CDD505-2E9C-101B-9397-08002B2CF9AE}" pid="23" name="Modified">
    <vt:lpwstr>24/02/2016</vt:lpwstr>
  </property>
  <property fmtid="{D5CDD505-2E9C-101B-9397-08002B2CF9AE}" pid="24" name="Editor">
    <vt:lpwstr>1210;#מיכל יצחקוב</vt:lpwstr>
  </property>
  <property fmtid="{D5CDD505-2E9C-101B-9397-08002B2CF9AE}" pid="25" name="_ModerationStatus">
    <vt:lpwstr>0</vt:lpwstr>
  </property>
  <property fmtid="{D5CDD505-2E9C-101B-9397-08002B2CF9AE}" pid="26" name="FileRef">
    <vt:lpwstr>225;#sites/VEADOT/VaadatKsafim/DocLib9/DocLib9 automatically created by sharedocs 1/00847516.docx</vt:lpwstr>
  </property>
  <property fmtid="{D5CDD505-2E9C-101B-9397-08002B2CF9AE}" pid="27" name="FileDirRef">
    <vt:lpwstr>225;#sites/VEADOT/VaadatKsafim/DocLib9/DocLib9 automatically created by sharedocs 1</vt:lpwstr>
  </property>
  <property fmtid="{D5CDD505-2E9C-101B-9397-08002B2CF9AE}" pid="28" name="Last_x0020_Modified">
    <vt:lpwstr>225;#2016-02-24 13:12:09</vt:lpwstr>
  </property>
  <property fmtid="{D5CDD505-2E9C-101B-9397-08002B2CF9AE}" pid="29" name="Created_x0020_Date">
    <vt:lpwstr>225;#2016-02-24 13:09:25</vt:lpwstr>
  </property>
  <property fmtid="{D5CDD505-2E9C-101B-9397-08002B2CF9AE}" pid="30" name="File_x0020_Size">
    <vt:lpwstr>225;#39768</vt:lpwstr>
  </property>
  <property fmtid="{D5CDD505-2E9C-101B-9397-08002B2CF9AE}" pid="31" name="FSObjType">
    <vt:lpwstr>225;#0</vt:lpwstr>
  </property>
  <property fmtid="{D5CDD505-2E9C-101B-9397-08002B2CF9AE}" pid="32" name="PermMask">
    <vt:lpwstr>0x1b03c5f1bff</vt:lpwstr>
  </property>
  <property fmtid="{D5CDD505-2E9C-101B-9397-08002B2CF9AE}" pid="33" name="CheckedOutUserId">
    <vt:lpwstr>225;#</vt:lpwstr>
  </property>
  <property fmtid="{D5CDD505-2E9C-101B-9397-08002B2CF9AE}" pid="34" name="IsCheckedoutToLocal">
    <vt:lpwstr>225;#0</vt:lpwstr>
  </property>
  <property fmtid="{D5CDD505-2E9C-101B-9397-08002B2CF9AE}" pid="35" name="UniqueId">
    <vt:lpwstr>225;#{FD3C66DD-19D9-48AB-9415-335E304AE6EF}</vt:lpwstr>
  </property>
  <property fmtid="{D5CDD505-2E9C-101B-9397-08002B2CF9AE}" pid="36" name="ProgId">
    <vt:lpwstr>225;#</vt:lpwstr>
  </property>
  <property fmtid="{D5CDD505-2E9C-101B-9397-08002B2CF9AE}" pid="37" name="ScopeId">
    <vt:lpwstr>225;#{8D759270-68F4-4828-B1B7-E0DF846C5364}</vt:lpwstr>
  </property>
  <property fmtid="{D5CDD505-2E9C-101B-9397-08002B2CF9AE}" pid="38" name="VirusStatus">
    <vt:lpwstr>225;#39768</vt:lpwstr>
  </property>
  <property fmtid="{D5CDD505-2E9C-101B-9397-08002B2CF9AE}" pid="39" name="CheckedOutTitle">
    <vt:lpwstr>225;#</vt:lpwstr>
  </property>
  <property fmtid="{D5CDD505-2E9C-101B-9397-08002B2CF9AE}" pid="40" name="_CheckinComment">
    <vt:lpwstr>225;#</vt:lpwstr>
  </property>
  <property fmtid="{D5CDD505-2E9C-101B-9397-08002B2CF9AE}" pid="41" name="_EditMenuTableStart">
    <vt:lpwstr>00847516.docx</vt:lpwstr>
  </property>
  <property fmtid="{D5CDD505-2E9C-101B-9397-08002B2CF9AE}" pid="42" name="_EditMenuTableEnd">
    <vt:lpwstr>225</vt:lpwstr>
  </property>
  <property fmtid="{D5CDD505-2E9C-101B-9397-08002B2CF9AE}" pid="43" name="LinkFilenameNoMenu">
    <vt:lpwstr>00847516.docx</vt:lpwstr>
  </property>
  <property fmtid="{D5CDD505-2E9C-101B-9397-08002B2CF9AE}" pid="44" name="LinkFilename">
    <vt:lpwstr>00847516.docx</vt:lpwstr>
  </property>
  <property fmtid="{D5CDD505-2E9C-101B-9397-08002B2CF9AE}" pid="45" name="DocIcon">
    <vt:lpwstr>docx</vt:lpwstr>
  </property>
  <property fmtid="{D5CDD505-2E9C-101B-9397-08002B2CF9AE}" pid="46" name="ServerUrl">
    <vt:lpwstr>/sites/VEADOT/VaadatKsafim/DocLib9/DocLib9 automatically created by sharedocs 1/00847516.docx</vt:lpwstr>
  </property>
  <property fmtid="{D5CDD505-2E9C-101B-9397-08002B2CF9AE}" pid="47" name="EncodedAbsUrl">
    <vt:lpwstr>http://sd3portal/sites/VEADOT/VaadatKsafim/DocLib9/DocLib9%20automatically%20created%20by%20sharedocs%201/00847516.docx</vt:lpwstr>
  </property>
  <property fmtid="{D5CDD505-2E9C-101B-9397-08002B2CF9AE}" pid="48" name="BaseName">
    <vt:lpwstr>00847516</vt:lpwstr>
  </property>
  <property fmtid="{D5CDD505-2E9C-101B-9397-08002B2CF9AE}" pid="49" name="FileSizeDisplay">
    <vt:lpwstr>39768</vt:lpwstr>
  </property>
  <property fmtid="{D5CDD505-2E9C-101B-9397-08002B2CF9AE}" pid="50" name="MetaInfo">
    <vt:lpwstr>225;#SanhedrinItemID:DW|569691.000000000
vti_parserversion:SR|12.0.0.6662
SDCategories:LW|:ועדות:ועדת הכספים:ספר סיכום הכנסת ה- 20 - תיקי ועדה:הצעות חוק פרטיות:הצעת חוק הפיקוח על שירותים פיננסיים (קופות גמל) (תיקון - ניתוק חישוב עמלת ההפצה מדמי הניהול), ה</vt:lpwstr>
  </property>
  <property fmtid="{D5CDD505-2E9C-101B-9397-08002B2CF9AE}" pid="51" name="_Level">
    <vt:lpwstr>1</vt:lpwstr>
  </property>
  <property fmtid="{D5CDD505-2E9C-101B-9397-08002B2CF9AE}" pid="52" name="_IsCurrentVersion">
    <vt:lpwstr>1</vt:lpwstr>
  </property>
  <property fmtid="{D5CDD505-2E9C-101B-9397-08002B2CF9AE}" pid="53" name="SelectTitle">
    <vt:lpwstr>225</vt:lpwstr>
  </property>
  <property fmtid="{D5CDD505-2E9C-101B-9397-08002B2CF9AE}" pid="54" name="SelectFilename">
    <vt:lpwstr>225</vt:lpwstr>
  </property>
  <property fmtid="{D5CDD505-2E9C-101B-9397-08002B2CF9AE}" pid="55" name="Edit">
    <vt:lpwstr>0</vt:lpwstr>
  </property>
  <property fmtid="{D5CDD505-2E9C-101B-9397-08002B2CF9AE}" pid="56" name="owshiddenversion">
    <vt:lpwstr>2</vt:lpwstr>
  </property>
  <property fmtid="{D5CDD505-2E9C-101B-9397-08002B2CF9AE}" pid="57" name="_UIVersion">
    <vt:lpwstr>512</vt:lpwstr>
  </property>
  <property fmtid="{D5CDD505-2E9C-101B-9397-08002B2CF9AE}" pid="58" name="Order">
    <vt:lpwstr>22500.0000000000</vt:lpwstr>
  </property>
  <property fmtid="{D5CDD505-2E9C-101B-9397-08002B2CF9AE}" pid="59" name="GUID">
    <vt:lpwstr>{BDBAA464-28E9-4B59-B66B-2FA03C2B68F6}</vt:lpwstr>
  </property>
  <property fmtid="{D5CDD505-2E9C-101B-9397-08002B2CF9AE}" pid="60" name="WorkflowVersion">
    <vt:lpwstr>1</vt:lpwstr>
  </property>
  <property fmtid="{D5CDD505-2E9C-101B-9397-08002B2CF9AE}" pid="61" name="ParentVersionString">
    <vt:lpwstr>225;#</vt:lpwstr>
  </property>
  <property fmtid="{D5CDD505-2E9C-101B-9397-08002B2CF9AE}" pid="62" name="ParentLeafName">
    <vt:lpwstr>225;#</vt:lpwstr>
  </property>
  <property fmtid="{D5CDD505-2E9C-101B-9397-08002B2CF9AE}" pid="63" name="Combine">
    <vt:lpwstr>0</vt:lpwstr>
  </property>
  <property fmtid="{D5CDD505-2E9C-101B-9397-08002B2CF9AE}" pid="64" name="RepairDocument">
    <vt:lpwstr>0</vt:lpwstr>
  </property>
  <property fmtid="{D5CDD505-2E9C-101B-9397-08002B2CF9AE}" pid="65" name="ServerRedirected">
    <vt:lpwstr>0</vt:lpwstr>
  </property>
  <property fmtid="{D5CDD505-2E9C-101B-9397-08002B2CF9AE}" pid="66" name="Last Modified">
    <vt:lpwstr>225;#2016-02-24 13:12:09</vt:lpwstr>
  </property>
  <property fmtid="{D5CDD505-2E9C-101B-9397-08002B2CF9AE}" pid="67" name="Created Date">
    <vt:lpwstr>225;#2016-02-24 13:09:25</vt:lpwstr>
  </property>
  <property fmtid="{D5CDD505-2E9C-101B-9397-08002B2CF9AE}" pid="68" name="Created By">
    <vt:lpwstr>LAN_KNESSET\michali</vt:lpwstr>
  </property>
  <property fmtid="{D5CDD505-2E9C-101B-9397-08002B2CF9AE}" pid="69" name="File Type">
    <vt:lpwstr>docx</vt:lpwstr>
  </property>
  <property fmtid="{D5CDD505-2E9C-101B-9397-08002B2CF9AE}" pid="70" name="File Size">
    <vt:lpwstr>225;#39768</vt:lpwstr>
  </property>
  <property fmtid="{D5CDD505-2E9C-101B-9397-08002B2CF9AE}" pid="71" name="Modified By">
    <vt:lpwstr>LAN_KNESSET\michali</vt:lpwstr>
  </property>
</Properties>
</file>