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bookmarkStart w:id="0" w:name="_GoBack"/>
      <w:bookmarkEnd w:id="0"/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1" w:name="LGS_Internal_ID"/>
      <w:r>
        <w:rPr>
          <w:rFonts w:hint="cs"/>
          <w:b w:val="0"/>
          <w:bCs w:val="0"/>
          <w:szCs w:val="20"/>
          <w:rtl/>
        </w:rPr>
        <w:t>572378</w:t>
      </w:r>
      <w:bookmarkEnd w:id="1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2" w:name="LGS_Knesset_Num"/>
      <w:r>
        <w:rPr>
          <w:rFonts w:hint="cs"/>
          <w:sz w:val="28"/>
          <w:szCs w:val="28"/>
          <w:rtl/>
        </w:rPr>
        <w:t>העשרים</w:t>
      </w:r>
      <w:bookmarkEnd w:id="2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A" w14:textId="442E069E" w:rsidR="00E13C27" w:rsidRPr="00CF1AA2" w:rsidRDefault="008F6665" w:rsidP="00C674B3">
      <w:pPr>
        <w:pStyle w:val="David"/>
        <w:spacing w:line="360" w:lineRule="auto"/>
        <w:ind w:left="3544"/>
        <w:rPr>
          <w:b/>
          <w:bCs/>
          <w:sz w:val="16"/>
          <w:szCs w:val="16"/>
          <w:rtl/>
        </w:rPr>
      </w:pPr>
      <w:bookmarkStart w:id="3" w:name="LGS_Initiators_List"/>
      <w:r>
        <w:rPr>
          <w:b/>
          <w:bCs/>
          <w:rtl/>
        </w:rPr>
        <w:t>יוזמים:      חברי הכנסת</w:t>
      </w:r>
      <w:bookmarkEnd w:id="3"/>
      <w:r w:rsidR="00B35784"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עליזה לביא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אברהם דיכטר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שרן השכל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שולי מועלם-רפאלי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מיקי לוי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סופה לנדבר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איילת נחמיאס ורבין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קסניה סבטלובה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חיים ילין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יעל גרמן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אורלי לוי אבקסיס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עפר שלח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אלעזר שטרן</w:t>
      </w:r>
      <w:bookmarkStart w:id="5" w:name="LGS_Join_List"/>
      <w:bookmarkEnd w:id="4"/>
      <w:r w:rsidR="007D585A">
        <w:rPr>
          <w:rtl/>
        </w:rPr>
        <w:t xml:space="preserve"> </w:t>
      </w:r>
      <w:bookmarkEnd w:id="5"/>
      <w:r w:rsidR="002200A1" w:rsidRPr="00CF1AA2">
        <w:rPr>
          <w:rFonts w:hint="cs"/>
          <w:rtl/>
        </w:rPr>
        <w:tab/>
      </w:r>
      <w:bookmarkStart w:id="6" w:name="LGS_PM_NamesJoin"/>
      <w:r w:rsidR="007D585A">
        <w:rPr>
          <w:rFonts w:hint="cs"/>
          <w:rtl/>
        </w:rPr>
        <w:t xml:space="preserve"> </w:t>
      </w:r>
      <w:bookmarkEnd w:id="6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7" w:name="Private_Number"/>
      <w:r>
        <w:rPr>
          <w:rFonts w:hint="cs"/>
          <w:rtl/>
        </w:rPr>
        <w:t>פ/2421/20</w:t>
      </w:r>
      <w:bookmarkEnd w:id="7"/>
    </w:p>
    <w:p w14:paraId="7F6961AE" w14:textId="7B81A6C4" w:rsidR="00E13C27" w:rsidRDefault="00A443CF" w:rsidP="00C674B3">
      <w:pPr>
        <w:pStyle w:val="HeadHatzaotHok"/>
        <w:rPr>
          <w:rtl/>
        </w:rPr>
      </w:pPr>
      <w:bookmarkStart w:id="8" w:name="LGS_Subject"/>
      <w:r>
        <w:rPr>
          <w:rFonts w:hint="cs"/>
          <w:rtl/>
        </w:rPr>
        <w:t>הצעת חוק כלי הירייה (תיקון – הגבלת גיל למתן רשיונות לכלי ירייה), התשע"ו–2016</w:t>
      </w:r>
      <w:bookmarkEnd w:id="8"/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3"/>
      </w:tblGrid>
      <w:tr w:rsidR="00B00E4D" w14:paraId="7258DB37" w14:textId="77777777" w:rsidTr="00C674B3">
        <w:trPr>
          <w:cantSplit/>
        </w:trPr>
        <w:tc>
          <w:tcPr>
            <w:tcW w:w="1871" w:type="dxa"/>
          </w:tcPr>
          <w:p w14:paraId="382A9800" w14:textId="77777777" w:rsidR="00B00E4D" w:rsidRDefault="00B00E4D" w:rsidP="007551B3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תיקון סעיף 11ג</w:t>
            </w:r>
          </w:p>
        </w:tc>
        <w:tc>
          <w:tcPr>
            <w:tcW w:w="624" w:type="dxa"/>
          </w:tcPr>
          <w:p w14:paraId="5515F97D" w14:textId="2DDCF726" w:rsidR="00B00E4D" w:rsidRDefault="00C674B3" w:rsidP="00C674B3">
            <w:pPr>
              <w:pStyle w:val="TableText"/>
              <w:keepLines w:val="0"/>
              <w:tabs>
                <w:tab w:val="left" w:pos="0"/>
              </w:tabs>
              <w:rPr>
                <w:rtl/>
              </w:rPr>
            </w:pPr>
            <w:r>
              <w:rPr>
                <w:rtl/>
              </w:rPr>
              <w:t>1.</w:t>
            </w:r>
            <w:r>
              <w:rPr>
                <w:rtl/>
              </w:rPr>
              <w:tab/>
            </w:r>
          </w:p>
        </w:tc>
        <w:tc>
          <w:tcPr>
            <w:tcW w:w="7143" w:type="dxa"/>
          </w:tcPr>
          <w:p w14:paraId="471100CF" w14:textId="395AE230" w:rsidR="00B00E4D" w:rsidRPr="00C34DE2" w:rsidRDefault="00B00E4D" w:rsidP="00C674B3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בחוק כלי הירי</w:t>
            </w:r>
            <w:r w:rsidR="00C674B3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ה, התש"ט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1949</w:t>
            </w:r>
            <w:r>
              <w:rPr>
                <w:rStyle w:val="a5"/>
                <w:rtl/>
              </w:rPr>
              <w:footnoteReference w:id="2"/>
            </w:r>
            <w:r>
              <w:rPr>
                <w:rFonts w:hint="cs"/>
                <w:rtl/>
              </w:rPr>
              <w:t xml:space="preserve">, בסעיף 11ג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B00E4D" w14:paraId="2F1AEDEF" w14:textId="77777777" w:rsidTr="00C674B3">
        <w:trPr>
          <w:cantSplit/>
        </w:trPr>
        <w:tc>
          <w:tcPr>
            <w:tcW w:w="1871" w:type="dxa"/>
          </w:tcPr>
          <w:p w14:paraId="55DEBAE6" w14:textId="77777777" w:rsidR="00B00E4D" w:rsidRDefault="00B00E4D" w:rsidP="007551B3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5CB4F560" w14:textId="77777777" w:rsidR="00B00E4D" w:rsidRDefault="00B00E4D" w:rsidP="007551B3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</w:tcPr>
          <w:p w14:paraId="25364C54" w14:textId="7FD38CC8" w:rsidR="00B00E4D" w:rsidRPr="008D7718" w:rsidRDefault="00B00E4D" w:rsidP="00C674B3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4B1E23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בסעיף קטן (א), במקום "21" יבוא "20, או שסיים שירות צבאי מלא, לפי המוקדם; בסעיף זה, "שירות צבאי מלא"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שירות סדיר כמשמעותו בחוק שירות ב</w:t>
            </w:r>
            <w:r w:rsidR="00C674B3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טחון [נוסח משולב], התשמ"ו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1986</w:t>
            </w:r>
            <w:r>
              <w:rPr>
                <w:rStyle w:val="a5"/>
                <w:rtl/>
              </w:rPr>
              <w:footnoteReference w:id="3"/>
            </w:r>
            <w:r>
              <w:rPr>
                <w:rFonts w:hint="cs"/>
                <w:rtl/>
              </w:rPr>
              <w:t>, למשך הזמן הקבוע בסעיף 15 או 16 לחוק האמור, לפי העניין."</w:t>
            </w:r>
            <w:r w:rsidR="004B1E23">
              <w:rPr>
                <w:rFonts w:hint="cs"/>
                <w:rtl/>
              </w:rPr>
              <w:t>;</w:t>
            </w:r>
          </w:p>
        </w:tc>
      </w:tr>
      <w:tr w:rsidR="00B00E4D" w14:paraId="352C722E" w14:textId="77777777" w:rsidTr="00C674B3">
        <w:trPr>
          <w:cantSplit/>
        </w:trPr>
        <w:tc>
          <w:tcPr>
            <w:tcW w:w="1871" w:type="dxa"/>
          </w:tcPr>
          <w:p w14:paraId="3726C53D" w14:textId="77777777" w:rsidR="00B00E4D" w:rsidRDefault="00B00E4D" w:rsidP="007551B3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65697FB6" w14:textId="77777777" w:rsidR="00B00E4D" w:rsidRDefault="00B00E4D" w:rsidP="007551B3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</w:tcPr>
          <w:p w14:paraId="1B555F0F" w14:textId="71304C19" w:rsidR="00B00E4D" w:rsidRDefault="00B00E4D" w:rsidP="00C674B3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4B1E23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בסעיף קטן (ב), במקום "21" יבוא "20".</w:t>
            </w:r>
          </w:p>
        </w:tc>
      </w:tr>
    </w:tbl>
    <w:p w14:paraId="5DD691FC" w14:textId="15A882CD" w:rsidR="00B00E4D" w:rsidRDefault="002D1EE3" w:rsidP="00B00E4D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032126D6" w14:textId="5C06C9ED" w:rsidR="00B00E4D" w:rsidRPr="00B00E4D" w:rsidRDefault="00B00E4D" w:rsidP="00B00E4D">
      <w:pPr>
        <w:pStyle w:val="Hesber"/>
        <w:rPr>
          <w:rtl/>
        </w:rPr>
      </w:pPr>
      <w:r w:rsidRPr="00B00E4D">
        <w:rPr>
          <w:rFonts w:hint="cs"/>
          <w:rtl/>
        </w:rPr>
        <w:t>חוק כלי היר</w:t>
      </w:r>
      <w:r w:rsidR="004B1E23">
        <w:rPr>
          <w:rFonts w:hint="cs"/>
          <w:rtl/>
        </w:rPr>
        <w:t>י</w:t>
      </w:r>
      <w:r w:rsidRPr="00B00E4D">
        <w:rPr>
          <w:rFonts w:hint="cs"/>
          <w:rtl/>
        </w:rPr>
        <w:t>יה, התש"ט</w:t>
      </w:r>
      <w:r w:rsidRPr="00B00E4D">
        <w:rPr>
          <w:rtl/>
        </w:rPr>
        <w:t>–</w:t>
      </w:r>
      <w:r w:rsidRPr="00B00E4D">
        <w:rPr>
          <w:rFonts w:hint="cs"/>
          <w:rtl/>
        </w:rPr>
        <w:t xml:space="preserve">1949, קובע כי לא יינתן רישיון לנשיאת כלי ירייה לאדם שטרם מלאו לו 21 שנים. </w:t>
      </w:r>
      <w:r w:rsidRPr="00B00E4D">
        <w:rPr>
          <w:rFonts w:hint="eastAsia"/>
          <w:rtl/>
        </w:rPr>
        <w:t>חיילות</w:t>
      </w:r>
      <w:r w:rsidRPr="00B00E4D">
        <w:rPr>
          <w:rtl/>
        </w:rPr>
        <w:t xml:space="preserve"> רבות, אשר לאחר שחרורן מבקשות לעבוד כמאבטחות, אינן יכולות להיקלט בעבודות אבטחה כיוון שהן אינן עומדות ברף הגיל הקבוע בחוק לנשיאת כלי </w:t>
      </w:r>
      <w:r w:rsidRPr="00B00E4D">
        <w:rPr>
          <w:rFonts w:hint="eastAsia"/>
          <w:rtl/>
        </w:rPr>
        <w:t>ירייה</w:t>
      </w:r>
      <w:r w:rsidRPr="00B00E4D">
        <w:rPr>
          <w:rtl/>
        </w:rPr>
        <w:t xml:space="preserve">. </w:t>
      </w:r>
      <w:r w:rsidRPr="00B00E4D">
        <w:rPr>
          <w:rFonts w:hint="eastAsia"/>
          <w:rtl/>
        </w:rPr>
        <w:t>חלק</w:t>
      </w:r>
      <w:r w:rsidRPr="00B00E4D">
        <w:rPr>
          <w:rtl/>
        </w:rPr>
        <w:t xml:space="preserve"> מאותן חיילות שירתו בתפקידים קרביים והחזיקו נשק בעודן משרתות בצה"ל, אולם כאשר השתחררו </w:t>
      </w:r>
      <w:r w:rsidRPr="00B00E4D">
        <w:rPr>
          <w:rFonts w:hint="eastAsia"/>
          <w:rtl/>
        </w:rPr>
        <w:t>לא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יכלו</w:t>
      </w:r>
      <w:r w:rsidRPr="00B00E4D">
        <w:rPr>
          <w:rtl/>
        </w:rPr>
        <w:t xml:space="preserve"> לקבל ר</w:t>
      </w:r>
      <w:r w:rsidRPr="00B00E4D">
        <w:rPr>
          <w:rFonts w:hint="eastAsia"/>
          <w:rtl/>
        </w:rPr>
        <w:t>ישיון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lastRenderedPageBreak/>
        <w:t>לנשיאת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נשק</w:t>
      </w:r>
      <w:r w:rsidRPr="00B00E4D">
        <w:rPr>
          <w:rtl/>
        </w:rPr>
        <w:t xml:space="preserve"> בשל ה</w:t>
      </w:r>
      <w:r w:rsidRPr="00B00E4D">
        <w:rPr>
          <w:rFonts w:hint="eastAsia"/>
          <w:rtl/>
        </w:rPr>
        <w:t>רף</w:t>
      </w:r>
      <w:r w:rsidRPr="00B00E4D">
        <w:rPr>
          <w:rtl/>
        </w:rPr>
        <w:t xml:space="preserve"> הקבוע בחוק. </w:t>
      </w:r>
    </w:p>
    <w:p w14:paraId="29DB9CBC" w14:textId="77777777" w:rsidR="00B00E4D" w:rsidRPr="00B00E4D" w:rsidRDefault="00B00E4D" w:rsidP="00B00E4D">
      <w:pPr>
        <w:pStyle w:val="Hesber"/>
        <w:rPr>
          <w:rtl/>
        </w:rPr>
      </w:pPr>
      <w:r w:rsidRPr="00B00E4D">
        <w:rPr>
          <w:rFonts w:hint="eastAsia"/>
          <w:rtl/>
        </w:rPr>
        <w:t>במדינת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ישראל</w:t>
      </w:r>
      <w:r w:rsidRPr="00B00E4D">
        <w:rPr>
          <w:rtl/>
        </w:rPr>
        <w:t xml:space="preserve">, </w:t>
      </w:r>
      <w:r w:rsidRPr="00B00E4D">
        <w:rPr>
          <w:rFonts w:hint="eastAsia"/>
          <w:rtl/>
        </w:rPr>
        <w:t>שבה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יש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צורך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במאבטחים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רבים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ושבה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עבודת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האבטחה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נחשבת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כעבודה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מבוקשת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עבור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צעירים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וצעירות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רבים</w:t>
      </w:r>
      <w:r w:rsidRPr="00B00E4D">
        <w:rPr>
          <w:rtl/>
        </w:rPr>
        <w:t xml:space="preserve">, </w:t>
      </w:r>
      <w:r w:rsidRPr="00B00E4D">
        <w:rPr>
          <w:rFonts w:hint="eastAsia"/>
          <w:rtl/>
        </w:rPr>
        <w:t>מהווה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הגבלת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גיל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זו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פגיעה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קשה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בחופש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העיסוק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של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החיילות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המשוחררות</w:t>
      </w:r>
      <w:r w:rsidRPr="00B00E4D">
        <w:rPr>
          <w:rtl/>
        </w:rPr>
        <w:t>.</w:t>
      </w:r>
    </w:p>
    <w:p w14:paraId="6918AC97" w14:textId="77777777" w:rsidR="00B00E4D" w:rsidRPr="00B00E4D" w:rsidRDefault="00B00E4D" w:rsidP="00B00E4D">
      <w:pPr>
        <w:pStyle w:val="Hesber"/>
        <w:rPr>
          <w:rtl/>
        </w:rPr>
      </w:pPr>
      <w:r w:rsidRPr="00B00E4D">
        <w:rPr>
          <w:rFonts w:hint="eastAsia"/>
          <w:rtl/>
        </w:rPr>
        <w:t>עם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קיצור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השירות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הצבאי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לחיילים</w:t>
      </w:r>
      <w:r w:rsidRPr="00B00E4D">
        <w:rPr>
          <w:rtl/>
        </w:rPr>
        <w:t xml:space="preserve">, </w:t>
      </w:r>
      <w:r w:rsidRPr="00B00E4D">
        <w:rPr>
          <w:rFonts w:hint="eastAsia"/>
          <w:rtl/>
        </w:rPr>
        <w:t>שנכנס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לתוקף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ביולי</w:t>
      </w:r>
      <w:r w:rsidRPr="00B00E4D">
        <w:rPr>
          <w:rtl/>
        </w:rPr>
        <w:t xml:space="preserve"> 2015, ת</w:t>
      </w:r>
      <w:r w:rsidRPr="00B00E4D">
        <w:rPr>
          <w:rFonts w:hint="eastAsia"/>
          <w:rtl/>
        </w:rPr>
        <w:t>פגע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הגבלת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הגיל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לנשיאת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כלי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ירייה</w:t>
      </w:r>
      <w:r w:rsidRPr="00B00E4D">
        <w:rPr>
          <w:rtl/>
        </w:rPr>
        <w:t xml:space="preserve"> גם ב</w:t>
      </w:r>
      <w:r w:rsidRPr="00B00E4D">
        <w:rPr>
          <w:rFonts w:hint="eastAsia"/>
          <w:rtl/>
        </w:rPr>
        <w:t>חיילים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גברים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שישתחררו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בגיל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צעיר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יותר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מהגיל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הקבוע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בחוק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להחזקת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כלי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ירייה</w:t>
      </w:r>
      <w:r w:rsidRPr="00B00E4D">
        <w:rPr>
          <w:rtl/>
        </w:rPr>
        <w:t xml:space="preserve">. </w:t>
      </w:r>
      <w:r w:rsidRPr="00B00E4D">
        <w:rPr>
          <w:rFonts w:hint="eastAsia"/>
          <w:rtl/>
        </w:rPr>
        <w:t>הצעת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חוק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זו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מטרתה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למנוע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גם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פגיעה</w:t>
      </w:r>
      <w:r w:rsidRPr="00B00E4D">
        <w:rPr>
          <w:rtl/>
        </w:rPr>
        <w:t xml:space="preserve"> עתידית זו.</w:t>
      </w:r>
    </w:p>
    <w:p w14:paraId="72A21AF5" w14:textId="4C88E121" w:rsidR="00B00E4D" w:rsidRPr="00B00E4D" w:rsidRDefault="00B00E4D" w:rsidP="004B1E23">
      <w:pPr>
        <w:pStyle w:val="Hesber"/>
        <w:rPr>
          <w:rtl/>
        </w:rPr>
      </w:pPr>
      <w:r w:rsidRPr="00B00E4D">
        <w:rPr>
          <w:rFonts w:hint="eastAsia"/>
          <w:rtl/>
        </w:rPr>
        <w:t>נוכח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האמור</w:t>
      </w:r>
      <w:r w:rsidRPr="00B00E4D">
        <w:rPr>
          <w:rtl/>
        </w:rPr>
        <w:t xml:space="preserve">, </w:t>
      </w:r>
      <w:r w:rsidRPr="00B00E4D">
        <w:rPr>
          <w:rFonts w:hint="eastAsia"/>
          <w:rtl/>
        </w:rPr>
        <w:t>מוצע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לשנות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את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הגיל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הקבוע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בחוק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לקבלת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רישיון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לכלי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ירייה</w:t>
      </w:r>
      <w:r w:rsidRPr="00B00E4D">
        <w:rPr>
          <w:rtl/>
        </w:rPr>
        <w:t xml:space="preserve"> ולהעמידו על גיל 20, או לאחר סיום תקופת השירות המלאה, כדי לאפשר לחיילים ולחיילות משוחררים שאינם עומדים ברף הגיל הקבוע היום בחוק לנשיאת כלי ירי</w:t>
      </w:r>
      <w:r w:rsidRPr="00B00E4D">
        <w:rPr>
          <w:rFonts w:hint="eastAsia"/>
          <w:rtl/>
        </w:rPr>
        <w:t>יה</w:t>
      </w:r>
      <w:r w:rsidR="004B1E23">
        <w:rPr>
          <w:rFonts w:hint="cs"/>
          <w:rtl/>
        </w:rPr>
        <w:t xml:space="preserve"> </w:t>
      </w:r>
      <w:r w:rsidRPr="00B00E4D">
        <w:rPr>
          <w:rtl/>
        </w:rPr>
        <w:t>לקבל ר</w:t>
      </w:r>
      <w:r w:rsidRPr="00B00E4D">
        <w:rPr>
          <w:rFonts w:hint="eastAsia"/>
          <w:rtl/>
        </w:rPr>
        <w:t>ישיון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ולעבוד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בעבודות</w:t>
      </w:r>
      <w:r w:rsidRPr="00B00E4D">
        <w:rPr>
          <w:rtl/>
        </w:rPr>
        <w:t xml:space="preserve"> </w:t>
      </w:r>
      <w:r w:rsidRPr="00B00E4D">
        <w:rPr>
          <w:rFonts w:hint="eastAsia"/>
          <w:rtl/>
        </w:rPr>
        <w:t>אבטחה</w:t>
      </w:r>
      <w:r w:rsidRPr="00B00E4D">
        <w:t>.</w:t>
      </w:r>
    </w:p>
    <w:p w14:paraId="2174B0E4" w14:textId="77777777" w:rsidR="00C674B3" w:rsidRDefault="00C674B3" w:rsidP="00015015">
      <w:pPr>
        <w:pStyle w:val="Hesber"/>
        <w:rPr>
          <w:color w:val="auto"/>
          <w:rtl/>
          <w:lang w:eastAsia="en-US"/>
        </w:rPr>
      </w:pPr>
    </w:p>
    <w:p w14:paraId="1BB90596" w14:textId="77777777" w:rsidR="00C674B3" w:rsidRDefault="00C674B3" w:rsidP="00015015">
      <w:pPr>
        <w:pStyle w:val="Hesber"/>
        <w:rPr>
          <w:color w:val="auto"/>
          <w:rtl/>
          <w:lang w:eastAsia="en-US"/>
        </w:rPr>
      </w:pPr>
    </w:p>
    <w:p w14:paraId="60CDE5D2" w14:textId="77777777" w:rsidR="00C674B3" w:rsidRDefault="00C674B3" w:rsidP="00015015">
      <w:pPr>
        <w:pStyle w:val="Hesber"/>
        <w:rPr>
          <w:color w:val="auto"/>
          <w:rtl/>
          <w:lang w:eastAsia="en-US"/>
        </w:rPr>
      </w:pPr>
    </w:p>
    <w:p w14:paraId="00D782D7" w14:textId="77777777" w:rsidR="00C674B3" w:rsidRDefault="00C674B3" w:rsidP="00015015">
      <w:pPr>
        <w:pStyle w:val="Hesber"/>
        <w:rPr>
          <w:color w:val="auto"/>
          <w:rtl/>
          <w:lang w:eastAsia="en-US"/>
        </w:rPr>
      </w:pPr>
    </w:p>
    <w:p w14:paraId="38A76A82" w14:textId="77777777" w:rsidR="00C674B3" w:rsidRDefault="00C674B3" w:rsidP="00015015">
      <w:pPr>
        <w:pStyle w:val="Hesber"/>
        <w:rPr>
          <w:color w:val="auto"/>
          <w:rtl/>
          <w:lang w:eastAsia="en-US"/>
        </w:rPr>
      </w:pPr>
    </w:p>
    <w:p w14:paraId="590E3CE6" w14:textId="77777777" w:rsidR="004B1E23" w:rsidRPr="00D73212" w:rsidRDefault="004B1E23" w:rsidP="00015015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12432F9B" w14:textId="77777777" w:rsidR="004B1E23" w:rsidRPr="00D73212" w:rsidRDefault="004B1E23" w:rsidP="00015015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3685FDF0" w14:textId="77777777" w:rsidR="004B1E23" w:rsidRPr="00D73212" w:rsidRDefault="004B1E23" w:rsidP="00015015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4D6BB59B" w14:textId="77777777" w:rsidR="004B1E23" w:rsidRPr="00317312" w:rsidRDefault="004B1E23" w:rsidP="00015015">
      <w:pPr>
        <w:pStyle w:val="Hesber"/>
      </w:pPr>
      <w:r>
        <w:rPr>
          <w:rFonts w:hint="cs"/>
          <w:color w:val="auto"/>
          <w:rtl/>
          <w:lang w:eastAsia="en-US"/>
        </w:rPr>
        <w:t>כ"ג בטבת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ו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4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</w:t>
      </w:r>
      <w:r w:rsidRPr="00D73212">
        <w:rPr>
          <w:color w:val="auto"/>
          <w:rtl/>
          <w:lang w:eastAsia="en-US"/>
        </w:rPr>
        <w:t>.1</w:t>
      </w:r>
      <w:r>
        <w:rPr>
          <w:rFonts w:hint="cs"/>
          <w:color w:val="auto"/>
          <w:rtl/>
          <w:lang w:eastAsia="en-US"/>
        </w:rPr>
        <w:t>6</w:t>
      </w:r>
    </w:p>
    <w:p w14:paraId="495165A2" w14:textId="126E5CA5" w:rsidR="00564A2C" w:rsidRDefault="00564A2C" w:rsidP="004B1E23">
      <w:pPr>
        <w:rPr>
          <w:rtl/>
        </w:rPr>
      </w:pPr>
    </w:p>
    <w:sectPr w:rsidR="00564A2C" w:rsidSect="001207F8">
      <w:footerReference w:type="even" r:id="rId12"/>
      <w:footerReference w:type="default" r:id="rId13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005C7" w14:textId="77777777" w:rsidR="000E6C01" w:rsidRDefault="000E6C01">
      <w:r>
        <w:separator/>
      </w:r>
    </w:p>
  </w:endnote>
  <w:endnote w:type="continuationSeparator" w:id="0">
    <w:p w14:paraId="28AD2B99" w14:textId="77777777" w:rsidR="000E6C01" w:rsidRDefault="000E6C01">
      <w:r>
        <w:continuationSeparator/>
      </w:r>
    </w:p>
  </w:endnote>
  <w:endnote w:type="continuationNotice" w:id="1">
    <w:p w14:paraId="20E6B6BE" w14:textId="77777777" w:rsidR="000E6C01" w:rsidRDefault="000E6C0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270156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F1C34" w14:textId="77777777" w:rsidR="000E6C01" w:rsidRDefault="000E6C01">
      <w:r>
        <w:separator/>
      </w:r>
    </w:p>
  </w:footnote>
  <w:footnote w:type="continuationSeparator" w:id="0">
    <w:p w14:paraId="6484D688" w14:textId="77777777" w:rsidR="000E6C01" w:rsidRDefault="000E6C01">
      <w:r>
        <w:continuationSeparator/>
      </w:r>
    </w:p>
  </w:footnote>
  <w:footnote w:type="continuationNotice" w:id="1">
    <w:p w14:paraId="11DAC205" w14:textId="77777777" w:rsidR="000E6C01" w:rsidRDefault="000E6C01"/>
  </w:footnote>
  <w:footnote w:id="2">
    <w:p w14:paraId="05251D3D" w14:textId="77777777" w:rsidR="00B00E4D" w:rsidRDefault="00B00E4D" w:rsidP="00B00E4D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התש"ט, עמ' 143.</w:t>
      </w:r>
    </w:p>
  </w:footnote>
  <w:footnote w:id="3">
    <w:p w14:paraId="7BDF6E6B" w14:textId="77777777" w:rsidR="00B00E4D" w:rsidRDefault="00B00E4D" w:rsidP="00B00E4D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התשמ"ו, עמ' 107.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A6472"/>
    <w:multiLevelType w:val="hybridMultilevel"/>
    <w:tmpl w:val="D9E84510"/>
    <w:lvl w:ilvl="0" w:tplc="C8028B5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F7980"/>
    <w:multiLevelType w:val="hybridMultilevel"/>
    <w:tmpl w:val="A1609198"/>
    <w:lvl w:ilvl="0" w:tplc="657231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0E6C01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3735C"/>
    <w:rsid w:val="00241B97"/>
    <w:rsid w:val="002425D1"/>
    <w:rsid w:val="00246756"/>
    <w:rsid w:val="00251E58"/>
    <w:rsid w:val="00254605"/>
    <w:rsid w:val="00266D86"/>
    <w:rsid w:val="0027015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544D5"/>
    <w:rsid w:val="003633BE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43A5E"/>
    <w:rsid w:val="0045139B"/>
    <w:rsid w:val="004A06DC"/>
    <w:rsid w:val="004B1E23"/>
    <w:rsid w:val="004B24ED"/>
    <w:rsid w:val="004B6625"/>
    <w:rsid w:val="004D2D82"/>
    <w:rsid w:val="004D3876"/>
    <w:rsid w:val="004E4552"/>
    <w:rsid w:val="004E6CDF"/>
    <w:rsid w:val="00553C9D"/>
    <w:rsid w:val="00562A66"/>
    <w:rsid w:val="00564A2C"/>
    <w:rsid w:val="005A6075"/>
    <w:rsid w:val="005B064E"/>
    <w:rsid w:val="005D51AE"/>
    <w:rsid w:val="0062674B"/>
    <w:rsid w:val="006363B2"/>
    <w:rsid w:val="00644940"/>
    <w:rsid w:val="006818A9"/>
    <w:rsid w:val="006A2D81"/>
    <w:rsid w:val="006B7E8F"/>
    <w:rsid w:val="006C1D0D"/>
    <w:rsid w:val="0070601E"/>
    <w:rsid w:val="00712C72"/>
    <w:rsid w:val="00735FE9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4180"/>
    <w:rsid w:val="008F6665"/>
    <w:rsid w:val="00901DBF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00E4D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674B3"/>
    <w:rsid w:val="00C9176A"/>
    <w:rsid w:val="00CF1AA2"/>
    <w:rsid w:val="00D13C76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B3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C674B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C674B3"/>
    <w:rPr>
      <w:sz w:val="36"/>
      <w:szCs w:val="52"/>
    </w:rPr>
  </w:style>
  <w:style w:type="paragraph" w:customStyle="1" w:styleId="Cover3-Haknesset">
    <w:name w:val="Cover 3-Haknesset"/>
    <w:basedOn w:val="Cover1-Reshumot"/>
    <w:rsid w:val="00C674B3"/>
    <w:rPr>
      <w:b/>
      <w:bCs/>
      <w:spacing w:val="60"/>
    </w:rPr>
  </w:style>
  <w:style w:type="paragraph" w:customStyle="1" w:styleId="Cover4-Date">
    <w:name w:val="Cover 4-Date"/>
    <w:basedOn w:val="a"/>
    <w:rsid w:val="00C674B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C674B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C674B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C674B3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C674B3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C674B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C674B3"/>
  </w:style>
  <w:style w:type="paragraph" w:customStyle="1" w:styleId="TableBlock">
    <w:name w:val="Table Block"/>
    <w:basedOn w:val="TableText"/>
    <w:rsid w:val="00C674B3"/>
    <w:pPr>
      <w:ind w:right="0"/>
      <w:jc w:val="both"/>
    </w:pPr>
  </w:style>
  <w:style w:type="paragraph" w:customStyle="1" w:styleId="TableHead">
    <w:name w:val="Table Head"/>
    <w:basedOn w:val="TableText"/>
    <w:rsid w:val="00C674B3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C674B3"/>
  </w:style>
  <w:style w:type="paragraph" w:customStyle="1" w:styleId="Hesber">
    <w:name w:val="Hesber"/>
    <w:basedOn w:val="a"/>
    <w:rsid w:val="00C674B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C674B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C674B3"/>
    <w:rPr>
      <w:vertAlign w:val="superscript"/>
    </w:rPr>
  </w:style>
  <w:style w:type="paragraph" w:customStyle="1" w:styleId="HesberHeading">
    <w:name w:val="Hesber Heading"/>
    <w:basedOn w:val="Hesber"/>
    <w:rsid w:val="00C674B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C674B3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C674B3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C674B3"/>
    <w:rPr>
      <w:vertAlign w:val="superscript"/>
    </w:rPr>
  </w:style>
  <w:style w:type="paragraph" w:customStyle="1" w:styleId="TableBlockOutdent">
    <w:name w:val="Table BlockOutdent"/>
    <w:basedOn w:val="TableBlock"/>
    <w:rsid w:val="00C674B3"/>
    <w:pPr>
      <w:ind w:left="624" w:hanging="624"/>
    </w:pPr>
  </w:style>
  <w:style w:type="paragraph" w:styleId="a7">
    <w:name w:val="header"/>
    <w:basedOn w:val="a"/>
    <w:rsid w:val="00C674B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C674B3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C674B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C674B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C674B3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B3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C674B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C674B3"/>
    <w:rPr>
      <w:sz w:val="36"/>
      <w:szCs w:val="52"/>
    </w:rPr>
  </w:style>
  <w:style w:type="paragraph" w:customStyle="1" w:styleId="Cover3-Haknesset">
    <w:name w:val="Cover 3-Haknesset"/>
    <w:basedOn w:val="Cover1-Reshumot"/>
    <w:rsid w:val="00C674B3"/>
    <w:rPr>
      <w:b/>
      <w:bCs/>
      <w:spacing w:val="60"/>
    </w:rPr>
  </w:style>
  <w:style w:type="paragraph" w:customStyle="1" w:styleId="Cover4-Date">
    <w:name w:val="Cover 4-Date"/>
    <w:basedOn w:val="a"/>
    <w:rsid w:val="00C674B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C674B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C674B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C674B3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C674B3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C674B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C674B3"/>
  </w:style>
  <w:style w:type="paragraph" w:customStyle="1" w:styleId="TableBlock">
    <w:name w:val="Table Block"/>
    <w:basedOn w:val="TableText"/>
    <w:rsid w:val="00C674B3"/>
    <w:pPr>
      <w:ind w:right="0"/>
      <w:jc w:val="both"/>
    </w:pPr>
  </w:style>
  <w:style w:type="paragraph" w:customStyle="1" w:styleId="TableHead">
    <w:name w:val="Table Head"/>
    <w:basedOn w:val="TableText"/>
    <w:rsid w:val="00C674B3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C674B3"/>
  </w:style>
  <w:style w:type="paragraph" w:customStyle="1" w:styleId="Hesber">
    <w:name w:val="Hesber"/>
    <w:basedOn w:val="a"/>
    <w:rsid w:val="00C674B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C674B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C674B3"/>
    <w:rPr>
      <w:vertAlign w:val="superscript"/>
    </w:rPr>
  </w:style>
  <w:style w:type="paragraph" w:customStyle="1" w:styleId="HesberHeading">
    <w:name w:val="Hesber Heading"/>
    <w:basedOn w:val="Hesber"/>
    <w:rsid w:val="00C674B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C674B3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C674B3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C674B3"/>
    <w:rPr>
      <w:vertAlign w:val="superscript"/>
    </w:rPr>
  </w:style>
  <w:style w:type="paragraph" w:customStyle="1" w:styleId="TableBlockOutdent">
    <w:name w:val="Table BlockOutdent"/>
    <w:basedOn w:val="TableBlock"/>
    <w:rsid w:val="00C674B3"/>
    <w:pPr>
      <w:ind w:left="624" w:hanging="624"/>
    </w:pPr>
  </w:style>
  <w:style w:type="paragraph" w:styleId="a7">
    <w:name w:val="header"/>
    <w:basedOn w:val="a"/>
    <w:rsid w:val="00C674B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C674B3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C674B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C674B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C674B3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751AD-FE14-4F81-9DF9-33DADDFCE42B}"/>
</file>

<file path=customXml/itemProps2.xml><?xml version="1.0" encoding="utf-8"?>
<ds:datastoreItem xmlns:ds="http://schemas.openxmlformats.org/officeDocument/2006/customXml" ds:itemID="{88F4AFE3-9455-419C-8851-785A55F44517}"/>
</file>

<file path=customXml/itemProps3.xml><?xml version="1.0" encoding="utf-8"?>
<ds:datastoreItem xmlns:ds="http://schemas.openxmlformats.org/officeDocument/2006/customXml" ds:itemID="{53CDC32B-DD97-493E-9196-3EF77D6F9C7D}"/>
</file>

<file path=customXml/itemProps4.xml><?xml version="1.0" encoding="utf-8"?>
<ds:datastoreItem xmlns:ds="http://schemas.openxmlformats.org/officeDocument/2006/customXml" ds:itemID="{8662ABAA-8069-46C3-8C41-4E1093E867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שוש אזולאי</cp:lastModifiedBy>
  <cp:revision>2</cp:revision>
  <cp:lastPrinted>2013-07-04T08:25:00Z</cp:lastPrinted>
  <dcterms:created xsi:type="dcterms:W3CDTF">2016-06-02T09:27:00Z</dcterms:created>
  <dcterms:modified xsi:type="dcterms:W3CDTF">2016-06-02T09:27:00Z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0x010100F931E205BBB08441AEFFEBF8ABB23DF1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88</vt:r8>
  </property>
  <property fmtid="{D5CDD505-2E9C-101B-9397-08002B2CF9AE}" pid="5" name="SanhedrinItemID">
    <vt:r8>2003304</vt:r8>
  </property>
</Properties>
</file>