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A1" w14:textId="77777777" w:rsidR="002C2E29" w:rsidRPr="0000131B" w:rsidRDefault="004033D8" w:rsidP="00A443CF">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570482</w:t>
      </w:r>
      <w:bookmarkEnd w:id="1"/>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2" w:name="LGS_Knesset_Num"/>
      <w:r>
        <w:rPr>
          <w:rFonts w:hint="cs"/>
          <w:sz w:val="28"/>
          <w:szCs w:val="28"/>
          <w:rtl/>
        </w:rPr>
        <w:t>העשרים</w:t>
      </w:r>
      <w:bookmarkEnd w:id="2"/>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3" w:name="LGS_Initiators_List"/>
      <w:r>
        <w:rPr>
          <w:b/>
          <w:bCs/>
          <w:rtl/>
        </w:rPr>
        <w:t>יוזמים:      חברי הכנסת</w:t>
      </w:r>
      <w:bookmarkEnd w:id="3"/>
      <w:r w:rsidR="00B35784" w:rsidRPr="00F67051">
        <w:rPr>
          <w:b/>
          <w:bCs/>
        </w:rPr>
        <w:tab/>
      </w:r>
      <w:bookmarkStart w:id="4" w:name="LGS_PM_Names"/>
      <w:r>
        <w:rPr>
          <w:rFonts w:hint="cs"/>
          <w:b/>
          <w:bCs/>
          <w:rtl/>
        </w:rPr>
        <w:t>נאוה בוקר</w:t>
      </w:r>
      <w:r>
        <w:br/>
      </w:r>
      <w:r>
        <w:rPr>
          <w:rFonts w:hint="cs"/>
          <w:b/>
          <w:bCs/>
          <w:rtl/>
        </w:rPr>
        <w:t xml:space="preserve"> </w:t>
      </w:r>
      <w:r>
        <w:tab/>
      </w:r>
      <w:r>
        <w:tab/>
      </w:r>
      <w:r>
        <w:tab/>
      </w:r>
      <w:r>
        <w:tab/>
      </w:r>
      <w:r>
        <w:rPr>
          <w:rFonts w:hint="cs"/>
          <w:b/>
          <w:bCs/>
          <w:rtl/>
        </w:rPr>
        <w:t>רוברט אילטוב</w:t>
      </w:r>
      <w:r>
        <w:br/>
      </w:r>
      <w:r>
        <w:rPr>
          <w:rFonts w:hint="cs"/>
          <w:b/>
          <w:bCs/>
          <w:rtl/>
        </w:rPr>
        <w:t xml:space="preserve"> </w:t>
      </w:r>
      <w:r>
        <w:tab/>
      </w:r>
      <w:r>
        <w:tab/>
      </w:r>
      <w:r>
        <w:tab/>
      </w:r>
      <w:r>
        <w:tab/>
      </w:r>
      <w:r>
        <w:rPr>
          <w:rFonts w:hint="cs"/>
          <w:b/>
          <w:bCs/>
          <w:rtl/>
        </w:rPr>
        <w:t>חמד עמאר</w:t>
      </w:r>
      <w:r>
        <w:br/>
      </w:r>
      <w:r>
        <w:rPr>
          <w:rFonts w:hint="cs"/>
          <w:b/>
          <w:bCs/>
          <w:rtl/>
        </w:rPr>
        <w:t xml:space="preserve"> </w:t>
      </w:r>
      <w:r>
        <w:tab/>
      </w:r>
      <w:r>
        <w:tab/>
      </w:r>
      <w:r>
        <w:tab/>
      </w:r>
      <w:r>
        <w:tab/>
      </w:r>
      <w:r>
        <w:rPr>
          <w:rFonts w:hint="cs"/>
          <w:b/>
          <w:bCs/>
          <w:rtl/>
        </w:rPr>
        <w:t>עודד פורר</w:t>
      </w:r>
      <w:r>
        <w:br/>
      </w:r>
      <w:r>
        <w:rPr>
          <w:rFonts w:hint="cs"/>
          <w:b/>
          <w:bCs/>
          <w:rtl/>
        </w:rPr>
        <w:t xml:space="preserve"> </w:t>
      </w:r>
      <w:r>
        <w:tab/>
      </w:r>
      <w:r>
        <w:tab/>
      </w:r>
      <w:r>
        <w:tab/>
      </w:r>
      <w:r>
        <w:tab/>
      </w:r>
      <w:r>
        <w:rPr>
          <w:rFonts w:hint="cs"/>
          <w:b/>
          <w:bCs/>
          <w:rtl/>
        </w:rPr>
        <w:t>יואב קיש</w:t>
      </w:r>
      <w:r>
        <w:br/>
      </w:r>
      <w:r>
        <w:rPr>
          <w:rFonts w:hint="cs"/>
          <w:b/>
          <w:bCs/>
          <w:rtl/>
        </w:rPr>
        <w:t xml:space="preserve"> </w:t>
      </w:r>
      <w:r>
        <w:tab/>
      </w:r>
      <w:r>
        <w:tab/>
      </w:r>
      <w:r>
        <w:tab/>
      </w:r>
      <w:r>
        <w:tab/>
      </w:r>
      <w:r>
        <w:rPr>
          <w:rFonts w:hint="cs"/>
          <w:b/>
          <w:bCs/>
          <w:rtl/>
        </w:rPr>
        <w:t>יואל רזבוזוב</w:t>
      </w:r>
      <w:r>
        <w:br/>
      </w:r>
      <w:r>
        <w:rPr>
          <w:rFonts w:hint="cs"/>
          <w:b/>
          <w:bCs/>
          <w:rtl/>
        </w:rPr>
        <w:t xml:space="preserve"> </w:t>
      </w:r>
      <w:r>
        <w:tab/>
      </w:r>
      <w:r>
        <w:tab/>
      </w:r>
      <w:r>
        <w:tab/>
      </w:r>
      <w:r>
        <w:tab/>
      </w:r>
      <w:r>
        <w:rPr>
          <w:rFonts w:hint="cs"/>
          <w:b/>
          <w:bCs/>
          <w:rtl/>
        </w:rPr>
        <w:t>דוד ביטן</w:t>
      </w:r>
      <w:r>
        <w:br/>
      </w:r>
      <w:r>
        <w:rPr>
          <w:rFonts w:hint="cs"/>
          <w:b/>
          <w:bCs/>
          <w:rtl/>
        </w:rPr>
        <w:t xml:space="preserve"> </w:t>
      </w:r>
      <w:r>
        <w:tab/>
      </w:r>
      <w:r>
        <w:tab/>
      </w:r>
      <w:r>
        <w:tab/>
      </w:r>
      <w:r>
        <w:tab/>
      </w:r>
      <w:r>
        <w:rPr>
          <w:rFonts w:hint="cs"/>
          <w:b/>
          <w:bCs/>
          <w:rtl/>
        </w:rPr>
        <w:t>דוד אמסלם</w:t>
      </w:r>
      <w:bookmarkEnd w:id="4"/>
    </w:p>
    <w:p w14:paraId="7F6961AA" w14:textId="39F9D96B" w:rsidR="00E13C27" w:rsidRPr="00CF1AA2" w:rsidRDefault="007D585A" w:rsidP="0036422C">
      <w:pPr>
        <w:pStyle w:val="David"/>
        <w:spacing w:before="0" w:line="360" w:lineRule="auto"/>
        <w:ind w:left="3544"/>
        <w:rPr>
          <w:b/>
          <w:bCs/>
          <w:sz w:val="16"/>
          <w:szCs w:val="16"/>
          <w:rtl/>
        </w:rPr>
      </w:pPr>
      <w:bookmarkStart w:id="5" w:name="LGS_Join_List"/>
      <w:r>
        <w:rPr>
          <w:rtl/>
        </w:rPr>
        <w:t xml:space="preserve"> </w:t>
      </w:r>
      <w:bookmarkEnd w:id="5"/>
      <w:r w:rsidR="002200A1" w:rsidRPr="00CF1AA2">
        <w:rPr>
          <w:rFonts w:hint="cs"/>
          <w:rtl/>
        </w:rPr>
        <w:tab/>
      </w:r>
      <w:bookmarkStart w:id="6" w:name="LGS_PM_NamesJoin"/>
      <w:r>
        <w:rPr>
          <w:rFonts w:hint="cs"/>
          <w:rtl/>
        </w:rPr>
        <w:t xml:space="preserve"> </w:t>
      </w:r>
      <w:bookmarkEnd w:id="6"/>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Default="00904591" w:rsidP="00904591">
      <w:pPr>
        <w:pStyle w:val="David"/>
        <w:spacing w:before="0" w:line="240" w:lineRule="auto"/>
        <w:ind w:left="3544"/>
        <w:rPr>
          <w:rtl/>
        </w:rPr>
      </w:pPr>
      <w:r>
        <w:t xml:space="preserve">                                            </w:t>
      </w:r>
      <w:r w:rsidR="008F1308">
        <w:t xml:space="preserve"> </w:t>
      </w:r>
      <w:bookmarkStart w:id="7" w:name="Private_Number"/>
      <w:r>
        <w:rPr>
          <w:rFonts w:hint="cs"/>
          <w:rtl/>
        </w:rPr>
        <w:t>פ/2779/20</w:t>
      </w:r>
      <w:bookmarkEnd w:id="7"/>
    </w:p>
    <w:p w14:paraId="3E0317EE" w14:textId="77777777" w:rsidR="004B092B" w:rsidRPr="00E06736" w:rsidRDefault="004B092B" w:rsidP="00904591">
      <w:pPr>
        <w:pStyle w:val="David"/>
        <w:spacing w:before="0" w:line="240" w:lineRule="auto"/>
        <w:ind w:left="3544"/>
        <w:rPr>
          <w:rtl/>
        </w:rPr>
      </w:pPr>
    </w:p>
    <w:p w14:paraId="720C1F7D" w14:textId="077E511E" w:rsidR="00390825" w:rsidRDefault="002D1EE3" w:rsidP="00390825">
      <w:pPr>
        <w:pStyle w:val="HeadHatzaotHok"/>
        <w:spacing w:before="0"/>
        <w:rPr>
          <w:rtl/>
        </w:rPr>
      </w:pPr>
      <w:bookmarkStart w:id="8" w:name="LGS_Subject"/>
      <w:r>
        <w:rPr>
          <w:rFonts w:hint="cs"/>
          <w:rtl/>
        </w:rPr>
        <w:t>הצעת חוק הדגל, הסמל והמנון המדינה (תיקון – פגיעה בכבוד דגל המדינה או סמלה), התשע"ו–2016</w:t>
      </w:r>
      <w:bookmarkEnd w:id="8"/>
    </w:p>
    <w:p w14:paraId="61175C9F" w14:textId="77777777" w:rsidR="00390825" w:rsidRDefault="00390825" w:rsidP="00390825">
      <w:pPr>
        <w:pStyle w:val="HeadHatzaotHok"/>
        <w:spacing w:before="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624"/>
        <w:gridCol w:w="3402"/>
      </w:tblGrid>
      <w:tr w:rsidR="009C2713" w14:paraId="16A50026" w14:textId="77777777" w:rsidTr="00542922">
        <w:trPr>
          <w:cantSplit/>
          <w:trHeight w:val="60"/>
        </w:trPr>
        <w:tc>
          <w:tcPr>
            <w:tcW w:w="1871" w:type="dxa"/>
          </w:tcPr>
          <w:p w14:paraId="539AEE2D" w14:textId="77777777" w:rsidR="009C2713" w:rsidRDefault="009C2713" w:rsidP="00542922">
            <w:pPr>
              <w:pStyle w:val="TableSideHeading"/>
              <w:keepLines w:val="0"/>
            </w:pPr>
            <w:r>
              <w:rPr>
                <w:rFonts w:hint="cs"/>
                <w:rtl/>
              </w:rPr>
              <w:t>תיקון סעיף 5</w:t>
            </w:r>
          </w:p>
        </w:tc>
        <w:tc>
          <w:tcPr>
            <w:tcW w:w="624" w:type="dxa"/>
          </w:tcPr>
          <w:p w14:paraId="79B00917" w14:textId="77777777" w:rsidR="009C2713" w:rsidRDefault="009C2713" w:rsidP="00542922">
            <w:pPr>
              <w:pStyle w:val="TableText"/>
              <w:keepLines w:val="0"/>
            </w:pPr>
            <w:r>
              <w:rPr>
                <w:rFonts w:hint="cs"/>
                <w:rtl/>
              </w:rPr>
              <w:t>1.</w:t>
            </w:r>
          </w:p>
        </w:tc>
        <w:tc>
          <w:tcPr>
            <w:tcW w:w="7146" w:type="dxa"/>
            <w:gridSpan w:val="7"/>
          </w:tcPr>
          <w:p w14:paraId="7159A1E7" w14:textId="77777777" w:rsidR="009C2713" w:rsidRPr="00AE26E7" w:rsidRDefault="009C2713" w:rsidP="00542922">
            <w:pPr>
              <w:pStyle w:val="TableBlock"/>
            </w:pPr>
            <w:r>
              <w:rPr>
                <w:rFonts w:hint="cs"/>
                <w:rtl/>
              </w:rPr>
              <w:t>בחוק, הדגל הסמל והמנון המדינה, התש"ט</w:t>
            </w:r>
            <w:r>
              <w:rPr>
                <w:rtl/>
              </w:rPr>
              <w:t>–</w:t>
            </w:r>
            <w:r>
              <w:rPr>
                <w:rFonts w:hint="cs"/>
                <w:rtl/>
              </w:rPr>
              <w:t>1949</w:t>
            </w:r>
            <w:r>
              <w:rPr>
                <w:rStyle w:val="a6"/>
                <w:rtl/>
              </w:rPr>
              <w:footnoteReference w:id="2"/>
            </w:r>
            <w:r>
              <w:rPr>
                <w:rFonts w:hint="cs"/>
                <w:rtl/>
              </w:rPr>
              <w:t xml:space="preserve"> (להלן </w:t>
            </w:r>
            <w:r>
              <w:rPr>
                <w:rtl/>
              </w:rPr>
              <w:t>–</w:t>
            </w:r>
            <w:r>
              <w:rPr>
                <w:rFonts w:hint="cs"/>
                <w:rtl/>
              </w:rPr>
              <w:t xml:space="preserve"> החוק העיקרי), בסעיף 5, במקום "שנה אחת" יבוא "שלוש שנים", ובמקום "עד שלוש מאות לירות" יבוא "של 50,000 שקלים חדשים".</w:t>
            </w:r>
          </w:p>
        </w:tc>
      </w:tr>
      <w:tr w:rsidR="009C2713" w14:paraId="17865F60" w14:textId="77777777" w:rsidTr="00542922">
        <w:trPr>
          <w:cantSplit/>
          <w:trHeight w:val="60"/>
        </w:trPr>
        <w:tc>
          <w:tcPr>
            <w:tcW w:w="1871" w:type="dxa"/>
          </w:tcPr>
          <w:p w14:paraId="53037491" w14:textId="77777777" w:rsidR="009C2713" w:rsidRDefault="009C2713" w:rsidP="00542922">
            <w:pPr>
              <w:pStyle w:val="TableSideHeading"/>
              <w:keepLines w:val="0"/>
              <w:rPr>
                <w:rtl/>
              </w:rPr>
            </w:pPr>
            <w:r>
              <w:rPr>
                <w:rFonts w:hint="cs"/>
                <w:rtl/>
              </w:rPr>
              <w:t>הוספת סעיף 5א</w:t>
            </w:r>
          </w:p>
        </w:tc>
        <w:tc>
          <w:tcPr>
            <w:tcW w:w="624" w:type="dxa"/>
          </w:tcPr>
          <w:p w14:paraId="469BB272" w14:textId="77777777" w:rsidR="009C2713" w:rsidRDefault="009C2713" w:rsidP="00542922">
            <w:pPr>
              <w:pStyle w:val="TableText"/>
              <w:rPr>
                <w:rtl/>
              </w:rPr>
            </w:pPr>
            <w:r>
              <w:rPr>
                <w:rFonts w:hint="cs"/>
                <w:rtl/>
              </w:rPr>
              <w:t>2.</w:t>
            </w:r>
          </w:p>
        </w:tc>
        <w:tc>
          <w:tcPr>
            <w:tcW w:w="7146" w:type="dxa"/>
            <w:gridSpan w:val="7"/>
          </w:tcPr>
          <w:p w14:paraId="5E199C19" w14:textId="77777777" w:rsidR="009C2713" w:rsidRDefault="009C2713" w:rsidP="00542922">
            <w:pPr>
              <w:pStyle w:val="TableBlock"/>
              <w:rPr>
                <w:rtl/>
              </w:rPr>
            </w:pPr>
            <w:r>
              <w:rPr>
                <w:rFonts w:hint="cs"/>
                <w:rtl/>
              </w:rPr>
              <w:t>אחרי סעיף 5 לחוק העיקרי יבוא:</w:t>
            </w:r>
          </w:p>
        </w:tc>
      </w:tr>
      <w:tr w:rsidR="009C2713" w14:paraId="262879D1" w14:textId="77777777" w:rsidTr="00542922">
        <w:trPr>
          <w:cantSplit/>
          <w:trHeight w:val="60"/>
        </w:trPr>
        <w:tc>
          <w:tcPr>
            <w:tcW w:w="1871" w:type="dxa"/>
          </w:tcPr>
          <w:p w14:paraId="190595C2" w14:textId="77777777" w:rsidR="009C2713" w:rsidRPr="007936F3" w:rsidRDefault="009C2713" w:rsidP="00542922">
            <w:pPr>
              <w:pStyle w:val="TableSideHeading"/>
              <w:keepLines w:val="0"/>
              <w:rPr>
                <w:i/>
                <w:iCs/>
              </w:rPr>
            </w:pPr>
          </w:p>
        </w:tc>
        <w:tc>
          <w:tcPr>
            <w:tcW w:w="624" w:type="dxa"/>
          </w:tcPr>
          <w:p w14:paraId="064EE994" w14:textId="77777777" w:rsidR="009C2713" w:rsidRDefault="009C2713" w:rsidP="00542922">
            <w:pPr>
              <w:pStyle w:val="TableText"/>
              <w:keepLines w:val="0"/>
            </w:pPr>
          </w:p>
        </w:tc>
        <w:tc>
          <w:tcPr>
            <w:tcW w:w="1872" w:type="dxa"/>
            <w:gridSpan w:val="3"/>
          </w:tcPr>
          <w:p w14:paraId="1C638BCA" w14:textId="77777777" w:rsidR="009C2713" w:rsidRDefault="009C2713" w:rsidP="00542922">
            <w:pPr>
              <w:pStyle w:val="TableInnerSideHeading"/>
            </w:pPr>
            <w:r>
              <w:rPr>
                <w:rFonts w:hint="cs"/>
                <w:rtl/>
              </w:rPr>
              <w:t>"שריפת דגל המדינה</w:t>
            </w:r>
          </w:p>
        </w:tc>
        <w:tc>
          <w:tcPr>
            <w:tcW w:w="624" w:type="dxa"/>
          </w:tcPr>
          <w:p w14:paraId="31F680A0" w14:textId="77777777" w:rsidR="009C2713" w:rsidRDefault="009C2713" w:rsidP="00542922">
            <w:pPr>
              <w:pStyle w:val="TableText"/>
            </w:pPr>
            <w:r>
              <w:rPr>
                <w:rFonts w:hint="cs"/>
                <w:rtl/>
              </w:rPr>
              <w:t xml:space="preserve">5א. </w:t>
            </w:r>
          </w:p>
        </w:tc>
        <w:tc>
          <w:tcPr>
            <w:tcW w:w="4650" w:type="dxa"/>
            <w:gridSpan w:val="3"/>
          </w:tcPr>
          <w:p w14:paraId="58B15576" w14:textId="77777777" w:rsidR="009C2713" w:rsidRDefault="009C2713" w:rsidP="00542922">
            <w:pPr>
              <w:pStyle w:val="TableBlock"/>
            </w:pPr>
            <w:r>
              <w:rPr>
                <w:rFonts w:hint="cs"/>
                <w:rtl/>
              </w:rPr>
              <w:t>(א)</w:t>
            </w:r>
            <w:r>
              <w:rPr>
                <w:rtl/>
              </w:rPr>
              <w:tab/>
            </w:r>
            <w:r w:rsidRPr="00FF0F9C">
              <w:rPr>
                <w:rFonts w:hint="eastAsia"/>
                <w:rtl/>
              </w:rPr>
              <w:t>אזרח</w:t>
            </w:r>
            <w:r w:rsidRPr="00FF0F9C">
              <w:rPr>
                <w:rtl/>
              </w:rPr>
              <w:t xml:space="preserve"> </w:t>
            </w:r>
            <w:r w:rsidRPr="00FF0F9C">
              <w:rPr>
                <w:rFonts w:hint="eastAsia"/>
                <w:rtl/>
              </w:rPr>
              <w:t>ישראלי</w:t>
            </w:r>
            <w:r>
              <w:rPr>
                <w:rFonts w:hint="cs"/>
                <w:rtl/>
              </w:rPr>
              <w:t xml:space="preserve"> השורף את דגל המדינה, דינו </w:t>
            </w:r>
            <w:r>
              <w:rPr>
                <w:rtl/>
              </w:rPr>
              <w:t>–</w:t>
            </w:r>
            <w:r>
              <w:rPr>
                <w:rFonts w:hint="cs"/>
                <w:rtl/>
              </w:rPr>
              <w:t xml:space="preserve"> מאסר שלוש שנים.</w:t>
            </w:r>
          </w:p>
        </w:tc>
      </w:tr>
      <w:tr w:rsidR="009C2713" w14:paraId="0BBD2445" w14:textId="77777777" w:rsidTr="00542922">
        <w:trPr>
          <w:cantSplit/>
          <w:trHeight w:val="60"/>
        </w:trPr>
        <w:tc>
          <w:tcPr>
            <w:tcW w:w="1871" w:type="dxa"/>
          </w:tcPr>
          <w:p w14:paraId="79D61A9E" w14:textId="77777777" w:rsidR="009C2713" w:rsidRPr="007936F3" w:rsidRDefault="009C2713" w:rsidP="00542922">
            <w:pPr>
              <w:pStyle w:val="TableSideHeading"/>
              <w:rPr>
                <w:i/>
                <w:iCs/>
              </w:rPr>
            </w:pPr>
          </w:p>
        </w:tc>
        <w:tc>
          <w:tcPr>
            <w:tcW w:w="624" w:type="dxa"/>
          </w:tcPr>
          <w:p w14:paraId="25C81B7B" w14:textId="77777777" w:rsidR="009C2713" w:rsidRDefault="009C2713" w:rsidP="00542922">
            <w:pPr>
              <w:pStyle w:val="TableText"/>
            </w:pPr>
          </w:p>
        </w:tc>
        <w:tc>
          <w:tcPr>
            <w:tcW w:w="624" w:type="dxa"/>
          </w:tcPr>
          <w:p w14:paraId="08D30FBC" w14:textId="77777777" w:rsidR="009C2713" w:rsidRDefault="009C2713" w:rsidP="00542922">
            <w:pPr>
              <w:pStyle w:val="TableText"/>
            </w:pPr>
          </w:p>
        </w:tc>
        <w:tc>
          <w:tcPr>
            <w:tcW w:w="624" w:type="dxa"/>
          </w:tcPr>
          <w:p w14:paraId="240F4ECE" w14:textId="77777777" w:rsidR="009C2713" w:rsidRDefault="009C2713" w:rsidP="00542922">
            <w:pPr>
              <w:pStyle w:val="TableText"/>
            </w:pPr>
          </w:p>
        </w:tc>
        <w:tc>
          <w:tcPr>
            <w:tcW w:w="624" w:type="dxa"/>
          </w:tcPr>
          <w:p w14:paraId="7A4EEE74" w14:textId="77777777" w:rsidR="009C2713" w:rsidRDefault="009C2713" w:rsidP="00542922">
            <w:pPr>
              <w:pStyle w:val="TableText"/>
            </w:pPr>
          </w:p>
        </w:tc>
        <w:tc>
          <w:tcPr>
            <w:tcW w:w="624" w:type="dxa"/>
          </w:tcPr>
          <w:p w14:paraId="411ECC21" w14:textId="77777777" w:rsidR="009C2713" w:rsidRDefault="009C2713" w:rsidP="00542922">
            <w:pPr>
              <w:pStyle w:val="TableText"/>
            </w:pPr>
          </w:p>
        </w:tc>
        <w:tc>
          <w:tcPr>
            <w:tcW w:w="624" w:type="dxa"/>
          </w:tcPr>
          <w:p w14:paraId="5589EEB8" w14:textId="77777777" w:rsidR="009C2713" w:rsidRDefault="009C2713" w:rsidP="00542922">
            <w:pPr>
              <w:pStyle w:val="TableText"/>
            </w:pPr>
            <w:r>
              <w:rPr>
                <w:rFonts w:hint="cs"/>
                <w:rtl/>
              </w:rPr>
              <w:t>(ב)</w:t>
            </w:r>
          </w:p>
        </w:tc>
        <w:tc>
          <w:tcPr>
            <w:tcW w:w="4026" w:type="dxa"/>
            <w:gridSpan w:val="2"/>
          </w:tcPr>
          <w:p w14:paraId="2797F5CB" w14:textId="77777777" w:rsidR="009C2713" w:rsidRDefault="009C2713" w:rsidP="00542922">
            <w:pPr>
              <w:pStyle w:val="TableBlock"/>
            </w:pPr>
            <w:r>
              <w:rPr>
                <w:rFonts w:hint="cs"/>
                <w:rtl/>
              </w:rPr>
              <w:t>(1)</w:t>
            </w:r>
            <w:r>
              <w:rPr>
                <w:rtl/>
              </w:rPr>
              <w:tab/>
            </w:r>
            <w:r>
              <w:rPr>
                <w:rFonts w:hint="cs"/>
                <w:rtl/>
              </w:rPr>
              <w:t xml:space="preserve">הורשע אדם כאמור בסעיף קטן (א) יקבע בית המשפט שנתן את ההחלטה כי </w:t>
            </w:r>
            <w:r>
              <w:rPr>
                <w:rtl/>
              </w:rPr>
              <w:t>–</w:t>
            </w:r>
          </w:p>
        </w:tc>
      </w:tr>
      <w:tr w:rsidR="009C2713" w14:paraId="23881079" w14:textId="77777777" w:rsidTr="00542922">
        <w:trPr>
          <w:cantSplit/>
          <w:trHeight w:val="60"/>
        </w:trPr>
        <w:tc>
          <w:tcPr>
            <w:tcW w:w="1871" w:type="dxa"/>
          </w:tcPr>
          <w:p w14:paraId="72253564" w14:textId="77777777" w:rsidR="009C2713" w:rsidRDefault="009C2713" w:rsidP="00542922">
            <w:pPr>
              <w:pStyle w:val="TableSideHeading"/>
            </w:pPr>
          </w:p>
        </w:tc>
        <w:tc>
          <w:tcPr>
            <w:tcW w:w="624" w:type="dxa"/>
          </w:tcPr>
          <w:p w14:paraId="187E44BA" w14:textId="77777777" w:rsidR="009C2713" w:rsidRDefault="009C2713" w:rsidP="00542922">
            <w:pPr>
              <w:pStyle w:val="TableText"/>
            </w:pPr>
          </w:p>
        </w:tc>
        <w:tc>
          <w:tcPr>
            <w:tcW w:w="624" w:type="dxa"/>
          </w:tcPr>
          <w:p w14:paraId="3F1F4FBD" w14:textId="77777777" w:rsidR="009C2713" w:rsidRDefault="009C2713" w:rsidP="00542922">
            <w:pPr>
              <w:pStyle w:val="TableText"/>
            </w:pPr>
          </w:p>
        </w:tc>
        <w:tc>
          <w:tcPr>
            <w:tcW w:w="624" w:type="dxa"/>
          </w:tcPr>
          <w:p w14:paraId="2F42DA08" w14:textId="77777777" w:rsidR="009C2713" w:rsidRDefault="009C2713" w:rsidP="00542922">
            <w:pPr>
              <w:pStyle w:val="TableText"/>
            </w:pPr>
          </w:p>
        </w:tc>
        <w:tc>
          <w:tcPr>
            <w:tcW w:w="624" w:type="dxa"/>
          </w:tcPr>
          <w:p w14:paraId="32B32C9D" w14:textId="77777777" w:rsidR="009C2713" w:rsidRDefault="009C2713" w:rsidP="00542922">
            <w:pPr>
              <w:pStyle w:val="TableText"/>
            </w:pPr>
          </w:p>
        </w:tc>
        <w:tc>
          <w:tcPr>
            <w:tcW w:w="624" w:type="dxa"/>
          </w:tcPr>
          <w:p w14:paraId="1EC3565C" w14:textId="77777777" w:rsidR="009C2713" w:rsidRDefault="009C2713" w:rsidP="00542922">
            <w:pPr>
              <w:pStyle w:val="TableText"/>
            </w:pPr>
          </w:p>
        </w:tc>
        <w:tc>
          <w:tcPr>
            <w:tcW w:w="624" w:type="dxa"/>
          </w:tcPr>
          <w:p w14:paraId="46D4BA4C" w14:textId="77777777" w:rsidR="009C2713" w:rsidRDefault="009C2713" w:rsidP="00542922">
            <w:pPr>
              <w:pStyle w:val="TableText"/>
            </w:pPr>
          </w:p>
        </w:tc>
        <w:tc>
          <w:tcPr>
            <w:tcW w:w="624" w:type="dxa"/>
          </w:tcPr>
          <w:p w14:paraId="69FBDC42" w14:textId="77777777" w:rsidR="009C2713" w:rsidRDefault="009C2713" w:rsidP="00542922">
            <w:pPr>
              <w:pStyle w:val="TableText"/>
            </w:pPr>
          </w:p>
        </w:tc>
        <w:tc>
          <w:tcPr>
            <w:tcW w:w="3402" w:type="dxa"/>
          </w:tcPr>
          <w:p w14:paraId="7E3DCA55" w14:textId="77777777" w:rsidR="009C2713" w:rsidRDefault="009C2713" w:rsidP="00542922">
            <w:pPr>
              <w:pStyle w:val="TableBlock"/>
            </w:pPr>
            <w:r>
              <w:rPr>
                <w:rFonts w:hint="cs"/>
                <w:rtl/>
              </w:rPr>
              <w:t>(א)</w:t>
            </w:r>
            <w:r>
              <w:rPr>
                <w:rtl/>
              </w:rPr>
              <w:tab/>
            </w:r>
            <w:r>
              <w:rPr>
                <w:rFonts w:hint="cs"/>
                <w:rtl/>
              </w:rPr>
              <w:t>תישלל זכאותו למלגות לפי סעיף 14 לחוק זכויות הסטודנט, התשס"ז</w:t>
            </w:r>
            <w:r>
              <w:rPr>
                <w:rtl/>
              </w:rPr>
              <w:t>–</w:t>
            </w:r>
            <w:r>
              <w:rPr>
                <w:rFonts w:hint="cs"/>
                <w:rtl/>
              </w:rPr>
              <w:t>2007</w:t>
            </w:r>
            <w:r>
              <w:rPr>
                <w:rStyle w:val="a6"/>
                <w:rtl/>
              </w:rPr>
              <w:footnoteReference w:id="3"/>
            </w:r>
            <w:r>
              <w:rPr>
                <w:rFonts w:hint="cs"/>
                <w:rtl/>
              </w:rPr>
              <w:t>;</w:t>
            </w:r>
          </w:p>
        </w:tc>
      </w:tr>
      <w:tr w:rsidR="009C2713" w14:paraId="40543BB7" w14:textId="77777777" w:rsidTr="00542922">
        <w:trPr>
          <w:cantSplit/>
          <w:trHeight w:val="60"/>
        </w:trPr>
        <w:tc>
          <w:tcPr>
            <w:tcW w:w="1871" w:type="dxa"/>
          </w:tcPr>
          <w:p w14:paraId="35ECB385" w14:textId="77777777" w:rsidR="009C2713" w:rsidRDefault="009C2713" w:rsidP="00542922">
            <w:pPr>
              <w:pStyle w:val="TableSideHeading"/>
              <w:rPr>
                <w:rtl/>
              </w:rPr>
            </w:pPr>
          </w:p>
        </w:tc>
        <w:tc>
          <w:tcPr>
            <w:tcW w:w="624" w:type="dxa"/>
          </w:tcPr>
          <w:p w14:paraId="54AFCCAF" w14:textId="77777777" w:rsidR="009C2713" w:rsidRDefault="009C2713" w:rsidP="00542922">
            <w:pPr>
              <w:pStyle w:val="TableText"/>
            </w:pPr>
          </w:p>
        </w:tc>
        <w:tc>
          <w:tcPr>
            <w:tcW w:w="624" w:type="dxa"/>
          </w:tcPr>
          <w:p w14:paraId="774C2778" w14:textId="77777777" w:rsidR="009C2713" w:rsidRDefault="009C2713" w:rsidP="00542922">
            <w:pPr>
              <w:pStyle w:val="TableText"/>
            </w:pPr>
          </w:p>
        </w:tc>
        <w:tc>
          <w:tcPr>
            <w:tcW w:w="624" w:type="dxa"/>
          </w:tcPr>
          <w:p w14:paraId="3F9314E3" w14:textId="77777777" w:rsidR="009C2713" w:rsidRDefault="009C2713" w:rsidP="00542922">
            <w:pPr>
              <w:pStyle w:val="TableText"/>
            </w:pPr>
          </w:p>
        </w:tc>
        <w:tc>
          <w:tcPr>
            <w:tcW w:w="624" w:type="dxa"/>
          </w:tcPr>
          <w:p w14:paraId="089530B2" w14:textId="77777777" w:rsidR="009C2713" w:rsidRDefault="009C2713" w:rsidP="00542922">
            <w:pPr>
              <w:pStyle w:val="TableText"/>
            </w:pPr>
          </w:p>
        </w:tc>
        <w:tc>
          <w:tcPr>
            <w:tcW w:w="624" w:type="dxa"/>
          </w:tcPr>
          <w:p w14:paraId="5E79C32D" w14:textId="77777777" w:rsidR="009C2713" w:rsidRDefault="009C2713" w:rsidP="00542922">
            <w:pPr>
              <w:pStyle w:val="TableText"/>
            </w:pPr>
          </w:p>
        </w:tc>
        <w:tc>
          <w:tcPr>
            <w:tcW w:w="624" w:type="dxa"/>
          </w:tcPr>
          <w:p w14:paraId="00417D21" w14:textId="77777777" w:rsidR="009C2713" w:rsidRDefault="009C2713" w:rsidP="00542922">
            <w:pPr>
              <w:pStyle w:val="TableText"/>
            </w:pPr>
          </w:p>
        </w:tc>
        <w:tc>
          <w:tcPr>
            <w:tcW w:w="624" w:type="dxa"/>
          </w:tcPr>
          <w:p w14:paraId="6B69FE0D" w14:textId="77777777" w:rsidR="009C2713" w:rsidRDefault="009C2713" w:rsidP="00542922">
            <w:pPr>
              <w:pStyle w:val="TableText"/>
            </w:pPr>
          </w:p>
        </w:tc>
        <w:tc>
          <w:tcPr>
            <w:tcW w:w="3402" w:type="dxa"/>
          </w:tcPr>
          <w:p w14:paraId="5C44393A" w14:textId="2AFAF81E" w:rsidR="009C2713" w:rsidRDefault="009C2713" w:rsidP="00001A2B">
            <w:pPr>
              <w:pStyle w:val="TableBlock"/>
              <w:rPr>
                <w:rtl/>
              </w:rPr>
            </w:pPr>
            <w:r>
              <w:rPr>
                <w:rFonts w:hint="cs"/>
                <w:rtl/>
              </w:rPr>
              <w:t>(ב)</w:t>
            </w:r>
            <w:r>
              <w:rPr>
                <w:rtl/>
              </w:rPr>
              <w:tab/>
            </w:r>
            <w:r>
              <w:rPr>
                <w:rFonts w:hint="cs"/>
                <w:rtl/>
              </w:rPr>
              <w:t>תישלל זכאותו לשירותי בריאות לפי חוק ביטוח בריאות ממלכתי, התשנ"</w:t>
            </w:r>
            <w:r w:rsidR="00001A2B">
              <w:rPr>
                <w:rFonts w:hint="cs"/>
                <w:rtl/>
              </w:rPr>
              <w:t>ח</w:t>
            </w:r>
            <w:r>
              <w:rPr>
                <w:rtl/>
              </w:rPr>
              <w:t>–</w:t>
            </w:r>
            <w:r>
              <w:rPr>
                <w:rFonts w:hint="cs"/>
                <w:rtl/>
              </w:rPr>
              <w:t>1994</w:t>
            </w:r>
            <w:r>
              <w:rPr>
                <w:rStyle w:val="a6"/>
                <w:rtl/>
              </w:rPr>
              <w:footnoteReference w:id="4"/>
            </w:r>
            <w:r>
              <w:rPr>
                <w:rFonts w:hint="cs"/>
                <w:rtl/>
              </w:rPr>
              <w:t>, ובלבד שיינתן לו טיפול רפואי כמשמעותו בחוק זכויות החולה, התשנ"ו</w:t>
            </w:r>
            <w:r>
              <w:rPr>
                <w:rtl/>
              </w:rPr>
              <w:t>–</w:t>
            </w:r>
            <w:r>
              <w:rPr>
                <w:rFonts w:hint="cs"/>
                <w:rtl/>
              </w:rPr>
              <w:t>1996</w:t>
            </w:r>
            <w:r>
              <w:rPr>
                <w:rStyle w:val="a6"/>
                <w:rtl/>
              </w:rPr>
              <w:footnoteReference w:id="5"/>
            </w:r>
            <w:r>
              <w:rPr>
                <w:rFonts w:hint="cs"/>
                <w:rtl/>
              </w:rPr>
              <w:t>;</w:t>
            </w:r>
          </w:p>
        </w:tc>
      </w:tr>
      <w:tr w:rsidR="009C2713" w14:paraId="77A08CD9" w14:textId="77777777" w:rsidTr="00542922">
        <w:trPr>
          <w:cantSplit/>
          <w:trHeight w:val="60"/>
        </w:trPr>
        <w:tc>
          <w:tcPr>
            <w:tcW w:w="1871" w:type="dxa"/>
          </w:tcPr>
          <w:p w14:paraId="7A83A68E" w14:textId="77777777" w:rsidR="009C2713" w:rsidRDefault="009C2713" w:rsidP="00542922">
            <w:pPr>
              <w:pStyle w:val="TableSideHeading"/>
              <w:rPr>
                <w:rtl/>
              </w:rPr>
            </w:pPr>
          </w:p>
        </w:tc>
        <w:tc>
          <w:tcPr>
            <w:tcW w:w="624" w:type="dxa"/>
          </w:tcPr>
          <w:p w14:paraId="279995F1" w14:textId="77777777" w:rsidR="009C2713" w:rsidRDefault="009C2713" w:rsidP="00542922">
            <w:pPr>
              <w:pStyle w:val="TableText"/>
            </w:pPr>
          </w:p>
        </w:tc>
        <w:tc>
          <w:tcPr>
            <w:tcW w:w="624" w:type="dxa"/>
          </w:tcPr>
          <w:p w14:paraId="4A19F7DF" w14:textId="77777777" w:rsidR="009C2713" w:rsidRDefault="009C2713" w:rsidP="00542922">
            <w:pPr>
              <w:pStyle w:val="TableText"/>
            </w:pPr>
          </w:p>
        </w:tc>
        <w:tc>
          <w:tcPr>
            <w:tcW w:w="624" w:type="dxa"/>
          </w:tcPr>
          <w:p w14:paraId="6146FE20" w14:textId="77777777" w:rsidR="009C2713" w:rsidRDefault="009C2713" w:rsidP="00542922">
            <w:pPr>
              <w:pStyle w:val="TableText"/>
            </w:pPr>
          </w:p>
        </w:tc>
        <w:tc>
          <w:tcPr>
            <w:tcW w:w="624" w:type="dxa"/>
          </w:tcPr>
          <w:p w14:paraId="7B9002D7" w14:textId="77777777" w:rsidR="009C2713" w:rsidRDefault="009C2713" w:rsidP="00542922">
            <w:pPr>
              <w:pStyle w:val="TableText"/>
            </w:pPr>
          </w:p>
        </w:tc>
        <w:tc>
          <w:tcPr>
            <w:tcW w:w="624" w:type="dxa"/>
          </w:tcPr>
          <w:p w14:paraId="5EC9DD8D" w14:textId="77777777" w:rsidR="009C2713" w:rsidRDefault="009C2713" w:rsidP="00542922">
            <w:pPr>
              <w:pStyle w:val="TableText"/>
            </w:pPr>
          </w:p>
        </w:tc>
        <w:tc>
          <w:tcPr>
            <w:tcW w:w="624" w:type="dxa"/>
          </w:tcPr>
          <w:p w14:paraId="01455659" w14:textId="77777777" w:rsidR="009C2713" w:rsidRDefault="009C2713" w:rsidP="00542922">
            <w:pPr>
              <w:pStyle w:val="TableText"/>
            </w:pPr>
          </w:p>
        </w:tc>
        <w:tc>
          <w:tcPr>
            <w:tcW w:w="624" w:type="dxa"/>
          </w:tcPr>
          <w:p w14:paraId="5C0E4BED" w14:textId="77777777" w:rsidR="009C2713" w:rsidRDefault="009C2713" w:rsidP="00542922">
            <w:pPr>
              <w:pStyle w:val="TableText"/>
            </w:pPr>
          </w:p>
        </w:tc>
        <w:tc>
          <w:tcPr>
            <w:tcW w:w="3402" w:type="dxa"/>
          </w:tcPr>
          <w:p w14:paraId="2B83BAC3" w14:textId="08FD169F" w:rsidR="009C2713" w:rsidRDefault="009C2713" w:rsidP="00542922">
            <w:pPr>
              <w:pStyle w:val="TableBlock"/>
              <w:rPr>
                <w:rtl/>
              </w:rPr>
            </w:pPr>
            <w:r>
              <w:rPr>
                <w:rFonts w:hint="cs"/>
                <w:rtl/>
              </w:rPr>
              <w:t>(ג)</w:t>
            </w:r>
            <w:r>
              <w:rPr>
                <w:rtl/>
              </w:rPr>
              <w:tab/>
            </w:r>
            <w:r>
              <w:rPr>
                <w:rFonts w:hint="cs"/>
                <w:rtl/>
              </w:rPr>
              <w:t>תישלל זכאותו לדמי אבטלה לפי חוק הביטוח הלאומי [נוסח משולב], התשנ"ה</w:t>
            </w:r>
            <w:r>
              <w:rPr>
                <w:rtl/>
              </w:rPr>
              <w:t>–</w:t>
            </w:r>
            <w:r>
              <w:rPr>
                <w:rFonts w:hint="cs"/>
                <w:rtl/>
              </w:rPr>
              <w:t>1995</w:t>
            </w:r>
            <w:r>
              <w:rPr>
                <w:rStyle w:val="a6"/>
                <w:rtl/>
              </w:rPr>
              <w:footnoteReference w:id="6"/>
            </w:r>
            <w:r w:rsidR="00A8556A">
              <w:rPr>
                <w:rFonts w:hint="cs"/>
                <w:rtl/>
              </w:rPr>
              <w:t>.</w:t>
            </w:r>
          </w:p>
        </w:tc>
      </w:tr>
      <w:tr w:rsidR="009C2713" w14:paraId="4C353607" w14:textId="77777777" w:rsidTr="00542922">
        <w:trPr>
          <w:cantSplit/>
          <w:trHeight w:val="60"/>
        </w:trPr>
        <w:tc>
          <w:tcPr>
            <w:tcW w:w="1871" w:type="dxa"/>
          </w:tcPr>
          <w:p w14:paraId="65486202" w14:textId="77777777" w:rsidR="009C2713" w:rsidRDefault="009C2713" w:rsidP="00542922">
            <w:pPr>
              <w:pStyle w:val="TableSideHeading"/>
            </w:pPr>
          </w:p>
        </w:tc>
        <w:tc>
          <w:tcPr>
            <w:tcW w:w="624" w:type="dxa"/>
          </w:tcPr>
          <w:p w14:paraId="24E4C643" w14:textId="77777777" w:rsidR="009C2713" w:rsidRDefault="009C2713" w:rsidP="00542922">
            <w:pPr>
              <w:pStyle w:val="TableText"/>
            </w:pPr>
          </w:p>
        </w:tc>
        <w:tc>
          <w:tcPr>
            <w:tcW w:w="624" w:type="dxa"/>
          </w:tcPr>
          <w:p w14:paraId="7796C284" w14:textId="77777777" w:rsidR="009C2713" w:rsidRDefault="009C2713" w:rsidP="00542922">
            <w:pPr>
              <w:pStyle w:val="TableText"/>
            </w:pPr>
          </w:p>
        </w:tc>
        <w:tc>
          <w:tcPr>
            <w:tcW w:w="624" w:type="dxa"/>
          </w:tcPr>
          <w:p w14:paraId="6DB13B69" w14:textId="77777777" w:rsidR="009C2713" w:rsidRDefault="009C2713" w:rsidP="00542922">
            <w:pPr>
              <w:pStyle w:val="TableText"/>
            </w:pPr>
          </w:p>
        </w:tc>
        <w:tc>
          <w:tcPr>
            <w:tcW w:w="624" w:type="dxa"/>
          </w:tcPr>
          <w:p w14:paraId="434115EB" w14:textId="77777777" w:rsidR="009C2713" w:rsidRDefault="009C2713" w:rsidP="00542922">
            <w:pPr>
              <w:pStyle w:val="TableText"/>
            </w:pPr>
          </w:p>
        </w:tc>
        <w:tc>
          <w:tcPr>
            <w:tcW w:w="624" w:type="dxa"/>
          </w:tcPr>
          <w:p w14:paraId="32F2AC11" w14:textId="77777777" w:rsidR="009C2713" w:rsidRDefault="009C2713" w:rsidP="00542922">
            <w:pPr>
              <w:pStyle w:val="TableText"/>
            </w:pPr>
          </w:p>
        </w:tc>
        <w:tc>
          <w:tcPr>
            <w:tcW w:w="624" w:type="dxa"/>
          </w:tcPr>
          <w:p w14:paraId="22BFDDE5" w14:textId="77777777" w:rsidR="009C2713" w:rsidRDefault="009C2713" w:rsidP="00542922">
            <w:pPr>
              <w:pStyle w:val="TableText"/>
            </w:pPr>
          </w:p>
        </w:tc>
        <w:tc>
          <w:tcPr>
            <w:tcW w:w="4026" w:type="dxa"/>
            <w:gridSpan w:val="2"/>
          </w:tcPr>
          <w:p w14:paraId="35B06C3D" w14:textId="77777777" w:rsidR="009C2713" w:rsidRDefault="009C2713" w:rsidP="00542922">
            <w:pPr>
              <w:pStyle w:val="TableBlock"/>
            </w:pPr>
            <w:r>
              <w:rPr>
                <w:rFonts w:hint="cs"/>
                <w:rtl/>
              </w:rPr>
              <w:t>(2)</w:t>
            </w:r>
            <w:r>
              <w:rPr>
                <w:rtl/>
              </w:rPr>
              <w:tab/>
            </w:r>
            <w:r>
              <w:rPr>
                <w:rFonts w:hint="cs"/>
                <w:rtl/>
              </w:rPr>
              <w:t>תוקפה של החלטה כאמור בפסקה (1) יהיה לתקופה של שש שנים בלבד."</w:t>
            </w:r>
          </w:p>
        </w:tc>
      </w:tr>
    </w:tbl>
    <w:p w14:paraId="0F8FC7B4" w14:textId="77777777" w:rsidR="00390825" w:rsidRPr="009C2713" w:rsidRDefault="00390825" w:rsidP="009C2713">
      <w:pPr>
        <w:pStyle w:val="HeadHatzaotHok"/>
        <w:spacing w:before="0"/>
        <w:jc w:val="both"/>
        <w:rPr>
          <w:rtl/>
        </w:rPr>
      </w:pPr>
    </w:p>
    <w:p w14:paraId="7F6961CA" w14:textId="32E247E0" w:rsidR="002D1EE3" w:rsidRDefault="002D1EE3" w:rsidP="009C2713">
      <w:pPr>
        <w:pStyle w:val="HeadDivreiHesber"/>
        <w:spacing w:before="0"/>
        <w:rPr>
          <w:rtl/>
        </w:rPr>
      </w:pPr>
      <w:r w:rsidRPr="0027450A">
        <w:rPr>
          <w:rFonts w:hint="cs"/>
          <w:rtl/>
        </w:rPr>
        <w:t>דברי הסבר</w:t>
      </w:r>
    </w:p>
    <w:p w14:paraId="214FF56C" w14:textId="70597C52" w:rsidR="009C2713" w:rsidRDefault="009C2713" w:rsidP="004B092B">
      <w:pPr>
        <w:pStyle w:val="Hesber"/>
        <w:spacing w:line="276" w:lineRule="auto"/>
        <w:rPr>
          <w:rtl/>
        </w:rPr>
      </w:pPr>
      <w:r>
        <w:rPr>
          <w:rtl/>
        </w:rPr>
        <w:t>סעיף 5 לחוק הדגל, הסמל והמנון המדינה, התש"ט–1949 (להלן</w:t>
      </w:r>
      <w:r>
        <w:rPr>
          <w:rFonts w:hint="cs"/>
          <w:rtl/>
        </w:rPr>
        <w:t xml:space="preserve"> </w:t>
      </w:r>
      <w:r>
        <w:rPr>
          <w:rtl/>
        </w:rPr>
        <w:t>–</w:t>
      </w:r>
      <w:r>
        <w:rPr>
          <w:rFonts w:hint="cs"/>
          <w:rtl/>
        </w:rPr>
        <w:t xml:space="preserve"> </w:t>
      </w:r>
      <w:r>
        <w:rPr>
          <w:rtl/>
        </w:rPr>
        <w:t xml:space="preserve"> </w:t>
      </w:r>
      <w:r w:rsidRPr="007936F3">
        <w:rPr>
          <w:rtl/>
        </w:rPr>
        <w:t>החוק</w:t>
      </w:r>
      <w:r>
        <w:rPr>
          <w:rtl/>
        </w:rPr>
        <w:t>), קובע בנ</w:t>
      </w:r>
      <w:r>
        <w:rPr>
          <w:rFonts w:hint="cs"/>
          <w:rtl/>
        </w:rPr>
        <w:t>ו</w:t>
      </w:r>
      <w:r>
        <w:rPr>
          <w:rtl/>
        </w:rPr>
        <w:t>סחו המקורי, כי כל אדם הפוגע בכבוד דגל המדינה</w:t>
      </w:r>
      <w:r w:rsidR="00A8556A">
        <w:rPr>
          <w:rFonts w:hint="cs"/>
          <w:rtl/>
        </w:rPr>
        <w:t>,</w:t>
      </w:r>
      <w:r>
        <w:rPr>
          <w:rtl/>
        </w:rPr>
        <w:t xml:space="preserve"> דינו</w:t>
      </w:r>
      <w:r>
        <w:rPr>
          <w:rFonts w:hint="cs"/>
          <w:rtl/>
        </w:rPr>
        <w:t xml:space="preserve"> </w:t>
      </w:r>
      <w:r>
        <w:rPr>
          <w:rtl/>
        </w:rPr>
        <w:t>–</w:t>
      </w:r>
      <w:r>
        <w:rPr>
          <w:rFonts w:hint="cs"/>
          <w:rtl/>
        </w:rPr>
        <w:t xml:space="preserve"> </w:t>
      </w:r>
      <w:r>
        <w:rPr>
          <w:rtl/>
        </w:rPr>
        <w:t xml:space="preserve"> מאסר עד שנה אחת. תקופה זו אינה עולה בקנה אחד עם סעיף 167 לחוק העונשין (פגיעה בדגל או בסמל של מדינה ידידותית) הקובע מאסר של שלוש שנים. מן הראוי כי העונש על פגיעה בדגל המדינה יהיה כבד מן העונשים</w:t>
      </w:r>
      <w:r>
        <w:rPr>
          <w:rFonts w:hint="cs"/>
          <w:rtl/>
        </w:rPr>
        <w:t xml:space="preserve"> המוטלים</w:t>
      </w:r>
      <w:r>
        <w:rPr>
          <w:rtl/>
        </w:rPr>
        <w:t xml:space="preserve"> על פגיעה בדגליהן של מדינות ידידותיות</w:t>
      </w:r>
      <w:r>
        <w:rPr>
          <w:rFonts w:hint="cs"/>
          <w:rtl/>
        </w:rPr>
        <w:t xml:space="preserve"> אחרות</w:t>
      </w:r>
      <w:r>
        <w:rPr>
          <w:rtl/>
        </w:rPr>
        <w:t>, ולכל הפחות</w:t>
      </w:r>
      <w:r>
        <w:rPr>
          <w:rFonts w:hint="cs"/>
          <w:rtl/>
        </w:rPr>
        <w:t xml:space="preserve"> שווה לו. על כן, מוצע</w:t>
      </w:r>
      <w:r>
        <w:rPr>
          <w:rtl/>
        </w:rPr>
        <w:t xml:space="preserve"> להשוות את העונש על פגיעה בסמל ובדגל המדינה, לפגיעה בסמליהן ובדגליהן של מדינות ידידותיות. </w:t>
      </w:r>
    </w:p>
    <w:p w14:paraId="13870090" w14:textId="620BF3F9" w:rsidR="009C2713" w:rsidRDefault="009C2713" w:rsidP="004B092B">
      <w:pPr>
        <w:pStyle w:val="Hesber"/>
        <w:spacing w:line="276" w:lineRule="auto"/>
        <w:rPr>
          <w:rtl/>
        </w:rPr>
      </w:pPr>
      <w:r>
        <w:rPr>
          <w:rFonts w:hint="cs"/>
          <w:rtl/>
        </w:rPr>
        <w:t>בהמשך לכך</w:t>
      </w:r>
      <w:r>
        <w:rPr>
          <w:rtl/>
        </w:rPr>
        <w:t>, סעיף 5 לחוק קובע גם אפשרות</w:t>
      </w:r>
      <w:r>
        <w:rPr>
          <w:rFonts w:hint="cs"/>
          <w:rtl/>
        </w:rPr>
        <w:t xml:space="preserve"> של</w:t>
      </w:r>
      <w:r>
        <w:rPr>
          <w:rtl/>
        </w:rPr>
        <w:t xml:space="preserve"> מתן קנס </w:t>
      </w:r>
      <w:r>
        <w:rPr>
          <w:rFonts w:hint="cs"/>
          <w:rtl/>
        </w:rPr>
        <w:t>בסך</w:t>
      </w:r>
      <w:r>
        <w:rPr>
          <w:rtl/>
        </w:rPr>
        <w:t xml:space="preserve"> 300 לירות לכל אדם המשחית את דגל המדינה. סכום זה אינו מידתי ואינו מעודכן לימינו. על כן מוצע לשנות את סעיף 5 לחוק ולקבוע מאסר של שלוש שנים או קנס בגובה 50,000 </w:t>
      </w:r>
      <w:r w:rsidR="00A8556A">
        <w:rPr>
          <w:rFonts w:hint="cs"/>
          <w:rtl/>
        </w:rPr>
        <w:t xml:space="preserve">שקלים חדשים </w:t>
      </w:r>
      <w:r>
        <w:rPr>
          <w:rtl/>
        </w:rPr>
        <w:t xml:space="preserve">או שני העונשים כאחד. </w:t>
      </w:r>
    </w:p>
    <w:p w14:paraId="3D2D4880" w14:textId="10B2F39F" w:rsidR="009C2713" w:rsidRDefault="00A8556A" w:rsidP="004B092B">
      <w:pPr>
        <w:pStyle w:val="Hesber"/>
        <w:spacing w:line="276" w:lineRule="auto"/>
        <w:rPr>
          <w:rtl/>
        </w:rPr>
      </w:pPr>
      <w:r>
        <w:rPr>
          <w:rFonts w:hint="cs"/>
          <w:rtl/>
        </w:rPr>
        <w:t>כמו כן</w:t>
      </w:r>
      <w:r w:rsidR="009C2713">
        <w:rPr>
          <w:rtl/>
        </w:rPr>
        <w:t>, בשל ריבוי המקרים של שריפת דגל ישראל במהלך ההתפרעויות והפרות הסדר שהתקיימו ברחבי הארץ בתקופה האחרונה</w:t>
      </w:r>
      <w:r w:rsidR="009C2713">
        <w:rPr>
          <w:rFonts w:hint="cs"/>
          <w:rtl/>
        </w:rPr>
        <w:t xml:space="preserve"> וכן בשל העובדה כי ניתן לפרש פעולה זו של שריפת דגל המדינה כפעולה המעידה כי </w:t>
      </w:r>
      <w:r w:rsidR="009C2713">
        <w:rPr>
          <w:rtl/>
        </w:rPr>
        <w:t xml:space="preserve">אין ברצונו </w:t>
      </w:r>
      <w:r w:rsidR="009C2713">
        <w:rPr>
          <w:rFonts w:hint="cs"/>
          <w:rtl/>
        </w:rPr>
        <w:t xml:space="preserve">של אותו אדם </w:t>
      </w:r>
      <w:r w:rsidR="009C2713">
        <w:rPr>
          <w:rtl/>
        </w:rPr>
        <w:t>להיות אזרח המדינה</w:t>
      </w:r>
      <w:r>
        <w:rPr>
          <w:rFonts w:hint="cs"/>
          <w:rtl/>
        </w:rPr>
        <w:t>,</w:t>
      </w:r>
      <w:r w:rsidR="009C2713">
        <w:rPr>
          <w:rtl/>
        </w:rPr>
        <w:t xml:space="preserve"> מוצע</w:t>
      </w:r>
      <w:r w:rsidR="009C2713">
        <w:rPr>
          <w:rFonts w:hint="cs"/>
          <w:rtl/>
        </w:rPr>
        <w:t xml:space="preserve"> לקבוע כי העונש בגין שריפת דגל המדינה יהיה אף הוא מאסר של שלוש שנים ונוסף </w:t>
      </w:r>
      <w:r>
        <w:rPr>
          <w:rFonts w:hint="cs"/>
          <w:rtl/>
        </w:rPr>
        <w:t xml:space="preserve">על כך </w:t>
      </w:r>
      <w:r w:rsidR="009C2713">
        <w:rPr>
          <w:rFonts w:hint="cs"/>
          <w:rtl/>
        </w:rPr>
        <w:t xml:space="preserve">תישללנה מאותו אזרח מספר </w:t>
      </w:r>
      <w:r w:rsidR="009C2713">
        <w:rPr>
          <w:rtl/>
        </w:rPr>
        <w:t xml:space="preserve">הטבות </w:t>
      </w:r>
      <w:r>
        <w:rPr>
          <w:rFonts w:hint="cs"/>
          <w:rtl/>
        </w:rPr>
        <w:t>ש</w:t>
      </w:r>
      <w:r w:rsidR="009C2713">
        <w:rPr>
          <w:rtl/>
        </w:rPr>
        <w:t>מדינת ישראל מספקת לאזרחיה דוגמת</w:t>
      </w:r>
      <w:r w:rsidR="009C2713">
        <w:rPr>
          <w:rFonts w:hint="cs"/>
          <w:rtl/>
        </w:rPr>
        <w:t xml:space="preserve"> הזכות</w:t>
      </w:r>
      <w:r w:rsidR="009C2713">
        <w:rPr>
          <w:rtl/>
        </w:rPr>
        <w:t xml:space="preserve"> </w:t>
      </w:r>
      <w:r w:rsidR="009C2713">
        <w:rPr>
          <w:rFonts w:hint="cs"/>
          <w:rtl/>
        </w:rPr>
        <w:t>לדמי אבטלה מה</w:t>
      </w:r>
      <w:r w:rsidR="009C2713">
        <w:rPr>
          <w:rtl/>
        </w:rPr>
        <w:t xml:space="preserve">ביטוח </w:t>
      </w:r>
      <w:r w:rsidR="009C2713">
        <w:rPr>
          <w:rFonts w:hint="cs"/>
          <w:rtl/>
        </w:rPr>
        <w:t>ה</w:t>
      </w:r>
      <w:r w:rsidR="009C2713">
        <w:rPr>
          <w:rtl/>
        </w:rPr>
        <w:t>לאומי, סבסוד טיפולים רפואיים</w:t>
      </w:r>
      <w:r w:rsidR="009C2713">
        <w:rPr>
          <w:rFonts w:hint="cs"/>
          <w:rtl/>
        </w:rPr>
        <w:t xml:space="preserve"> </w:t>
      </w:r>
      <w:r w:rsidR="009C2713">
        <w:rPr>
          <w:rtl/>
        </w:rPr>
        <w:t>ו</w:t>
      </w:r>
      <w:r w:rsidR="009C2713">
        <w:rPr>
          <w:rFonts w:hint="cs"/>
          <w:rtl/>
        </w:rPr>
        <w:t xml:space="preserve">קבלת </w:t>
      </w:r>
      <w:r w:rsidR="009C2713">
        <w:rPr>
          <w:rtl/>
        </w:rPr>
        <w:t>מלגות בהשכלה גבוהה</w:t>
      </w:r>
      <w:r w:rsidR="009C2713">
        <w:rPr>
          <w:rFonts w:hint="cs"/>
          <w:rtl/>
        </w:rPr>
        <w:t>,</w:t>
      </w:r>
      <w:r w:rsidR="009C2713" w:rsidRPr="000110CC">
        <w:rPr>
          <w:rFonts w:hint="cs"/>
          <w:rtl/>
        </w:rPr>
        <w:t xml:space="preserve"> </w:t>
      </w:r>
      <w:r w:rsidR="009C2713">
        <w:rPr>
          <w:rFonts w:hint="cs"/>
          <w:rtl/>
        </w:rPr>
        <w:t xml:space="preserve">למשך שש שנים מיום הרשעתו. </w:t>
      </w:r>
    </w:p>
    <w:p w14:paraId="19A34A24" w14:textId="131EDFB4" w:rsidR="004268FA" w:rsidRDefault="009C2713" w:rsidP="004B092B">
      <w:pPr>
        <w:pStyle w:val="Hesber"/>
        <w:spacing w:line="276" w:lineRule="auto"/>
        <w:rPr>
          <w:rtl/>
        </w:rPr>
      </w:pPr>
      <w:r>
        <w:rPr>
          <w:rFonts w:hint="cs"/>
          <w:rtl/>
        </w:rPr>
        <w:t>חשוב לציין כי הצעת חוק זו אינה מבקשת למנוע מאזרח ישראלי השורף את דגל המדינה לרכוש השכלה גבוהה או לקבל שירותים רפואיים אלא מבקשת כי אותו אדם לא ייהנה מהסבסוד הצולב של שאר האזרחים שומרי החוק וישלם עבור שירותים אלו מחיר מלא.</w:t>
      </w:r>
    </w:p>
    <w:p w14:paraId="59C14D19" w14:textId="0FCD5654" w:rsidR="004B092B" w:rsidRDefault="004B092B" w:rsidP="004B092B">
      <w:pPr>
        <w:pStyle w:val="Hesber"/>
        <w:spacing w:line="276" w:lineRule="auto"/>
        <w:rPr>
          <w:rtl/>
        </w:rPr>
      </w:pPr>
    </w:p>
    <w:p w14:paraId="5A314E8F" w14:textId="77777777" w:rsidR="004B092B" w:rsidRPr="00D73212" w:rsidRDefault="004B092B" w:rsidP="004B092B">
      <w:pPr>
        <w:pStyle w:val="Hesber"/>
        <w:spacing w:line="276" w:lineRule="auto"/>
        <w:rPr>
          <w:color w:val="auto"/>
          <w:rtl/>
          <w:lang w:eastAsia="en-US"/>
        </w:rPr>
      </w:pPr>
      <w:r w:rsidRPr="00D73212">
        <w:rPr>
          <w:color w:val="auto"/>
          <w:rtl/>
          <w:lang w:eastAsia="en-US"/>
        </w:rPr>
        <w:t>---------------------------------</w:t>
      </w:r>
    </w:p>
    <w:p w14:paraId="309FA7D4" w14:textId="77777777" w:rsidR="004B092B" w:rsidRPr="00D73212" w:rsidRDefault="004B092B" w:rsidP="004B092B">
      <w:pPr>
        <w:pStyle w:val="Hesber"/>
        <w:spacing w:line="276" w:lineRule="auto"/>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77F64EB9" w14:textId="77777777" w:rsidR="004B092B" w:rsidRPr="00D73212" w:rsidRDefault="004B092B" w:rsidP="004B092B">
      <w:pPr>
        <w:pStyle w:val="Hesber"/>
        <w:spacing w:line="276" w:lineRule="auto"/>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3F36FFD3" w14:textId="77777777" w:rsidR="004B092B" w:rsidRPr="00317312" w:rsidRDefault="004B092B" w:rsidP="004B092B">
      <w:pPr>
        <w:pStyle w:val="Hesber"/>
        <w:spacing w:line="276" w:lineRule="auto"/>
      </w:pPr>
      <w:r>
        <w:rPr>
          <w:rFonts w:hint="cs"/>
          <w:color w:val="auto"/>
          <w:rtl/>
          <w:lang w:eastAsia="en-US"/>
        </w:rPr>
        <w:t>ד' באדר ב'</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ו</w:t>
      </w:r>
      <w:r w:rsidRPr="00D73212">
        <w:rPr>
          <w:color w:val="auto"/>
          <w:rtl/>
          <w:lang w:eastAsia="en-US"/>
        </w:rPr>
        <w:t xml:space="preserve"> – </w:t>
      </w:r>
      <w:r>
        <w:rPr>
          <w:rFonts w:hint="cs"/>
          <w:color w:val="auto"/>
          <w:rtl/>
          <w:lang w:eastAsia="en-US"/>
        </w:rPr>
        <w:t>14.3.16</w:t>
      </w:r>
    </w:p>
    <w:p w14:paraId="5A15C256" w14:textId="77777777" w:rsidR="004B092B" w:rsidRDefault="004B092B" w:rsidP="00A8556A">
      <w:pPr>
        <w:pStyle w:val="Hesber"/>
        <w:rPr>
          <w:rtl/>
        </w:rPr>
      </w:pPr>
    </w:p>
    <w:sectPr w:rsidR="004B092B"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642CF" w14:textId="77777777" w:rsidR="00D03D9A" w:rsidRDefault="00D03D9A">
      <w:r>
        <w:separator/>
      </w:r>
    </w:p>
  </w:endnote>
  <w:endnote w:type="continuationSeparator" w:id="0">
    <w:p w14:paraId="3B9019E4" w14:textId="77777777" w:rsidR="00D03D9A" w:rsidRDefault="00D03D9A">
      <w:r>
        <w:continuationSeparator/>
      </w:r>
    </w:p>
  </w:endnote>
  <w:endnote w:type="continuationNotice" w:id="1">
    <w:p w14:paraId="418E5C43" w14:textId="77777777" w:rsidR="00D03D9A" w:rsidRDefault="00D03D9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F927B3">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5A2BE" w14:textId="77777777" w:rsidR="00D03D9A" w:rsidRDefault="00D03D9A">
      <w:r>
        <w:separator/>
      </w:r>
    </w:p>
  </w:footnote>
  <w:footnote w:type="continuationSeparator" w:id="0">
    <w:p w14:paraId="44536A3C" w14:textId="77777777" w:rsidR="00D03D9A" w:rsidRDefault="00D03D9A">
      <w:r>
        <w:continuationSeparator/>
      </w:r>
    </w:p>
  </w:footnote>
  <w:footnote w:type="continuationNotice" w:id="1">
    <w:p w14:paraId="0276601B" w14:textId="77777777" w:rsidR="00D03D9A" w:rsidRDefault="00D03D9A"/>
  </w:footnote>
  <w:footnote w:id="2">
    <w:p w14:paraId="30668A87" w14:textId="77777777" w:rsidR="009C2713" w:rsidRDefault="009C2713" w:rsidP="009C2713">
      <w:pPr>
        <w:pStyle w:val="a4"/>
      </w:pPr>
      <w:r>
        <w:rPr>
          <w:rStyle w:val="a6"/>
        </w:rPr>
        <w:footnoteRef/>
      </w:r>
      <w:r>
        <w:rPr>
          <w:rtl/>
        </w:rPr>
        <w:t xml:space="preserve"> </w:t>
      </w:r>
      <w:r>
        <w:rPr>
          <w:rFonts w:hint="cs"/>
          <w:rtl/>
        </w:rPr>
        <w:t>ס"ח התש"ט, עמ' 37.</w:t>
      </w:r>
    </w:p>
  </w:footnote>
  <w:footnote w:id="3">
    <w:p w14:paraId="68DD2AAB" w14:textId="77777777" w:rsidR="009C2713" w:rsidRDefault="009C2713" w:rsidP="009C2713">
      <w:pPr>
        <w:pStyle w:val="a4"/>
        <w:rPr>
          <w:rtl/>
        </w:rPr>
      </w:pPr>
      <w:r>
        <w:rPr>
          <w:rStyle w:val="a6"/>
        </w:rPr>
        <w:footnoteRef/>
      </w:r>
      <w:r>
        <w:rPr>
          <w:rtl/>
        </w:rPr>
        <w:t xml:space="preserve"> </w:t>
      </w:r>
      <w:r>
        <w:rPr>
          <w:rFonts w:hint="cs"/>
          <w:rtl/>
        </w:rPr>
        <w:t>ס"ח התשס"ז, עמ' 320.</w:t>
      </w:r>
    </w:p>
  </w:footnote>
  <w:footnote w:id="4">
    <w:p w14:paraId="07BAC2DB" w14:textId="77777777" w:rsidR="009C2713" w:rsidRDefault="009C2713" w:rsidP="009C2713">
      <w:pPr>
        <w:pStyle w:val="a4"/>
      </w:pPr>
      <w:r>
        <w:rPr>
          <w:rStyle w:val="a6"/>
        </w:rPr>
        <w:footnoteRef/>
      </w:r>
      <w:r>
        <w:rPr>
          <w:rtl/>
        </w:rPr>
        <w:t xml:space="preserve"> </w:t>
      </w:r>
      <w:r>
        <w:rPr>
          <w:rFonts w:hint="cs"/>
          <w:rtl/>
        </w:rPr>
        <w:t>ס"ח התשנ"ד, עמ' 156.</w:t>
      </w:r>
    </w:p>
  </w:footnote>
  <w:footnote w:id="5">
    <w:p w14:paraId="22D21225" w14:textId="77777777" w:rsidR="009C2713" w:rsidRDefault="009C2713" w:rsidP="009C2713">
      <w:pPr>
        <w:pStyle w:val="a4"/>
      </w:pPr>
      <w:r>
        <w:rPr>
          <w:rStyle w:val="a6"/>
        </w:rPr>
        <w:footnoteRef/>
      </w:r>
      <w:r>
        <w:rPr>
          <w:rtl/>
        </w:rPr>
        <w:t xml:space="preserve"> </w:t>
      </w:r>
      <w:r>
        <w:rPr>
          <w:rFonts w:hint="cs"/>
          <w:rtl/>
        </w:rPr>
        <w:t>ס"ח התשנ"ו, עמ' 327.</w:t>
      </w:r>
    </w:p>
  </w:footnote>
  <w:footnote w:id="6">
    <w:p w14:paraId="700ECCF6" w14:textId="77777777" w:rsidR="009C2713" w:rsidRDefault="009C2713" w:rsidP="009C2713">
      <w:pPr>
        <w:pStyle w:val="a4"/>
      </w:pPr>
      <w:r>
        <w:rPr>
          <w:rStyle w:val="a6"/>
        </w:rPr>
        <w:footnoteRef/>
      </w:r>
      <w:r>
        <w:rPr>
          <w:rtl/>
        </w:rPr>
        <w:t xml:space="preserve"> </w:t>
      </w:r>
      <w:r>
        <w:rPr>
          <w:rFonts w:hint="cs"/>
          <w:rtl/>
        </w:rPr>
        <w:t>ס"ח התשנ"ה, עמ'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01A2B"/>
    <w:rsid w:val="00015B27"/>
    <w:rsid w:val="00063A3E"/>
    <w:rsid w:val="00072CAC"/>
    <w:rsid w:val="0007681A"/>
    <w:rsid w:val="000A542E"/>
    <w:rsid w:val="00102B6B"/>
    <w:rsid w:val="001052D4"/>
    <w:rsid w:val="0010644B"/>
    <w:rsid w:val="001207F8"/>
    <w:rsid w:val="00121924"/>
    <w:rsid w:val="001279A8"/>
    <w:rsid w:val="00130E55"/>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2F3C25"/>
    <w:rsid w:val="002F7326"/>
    <w:rsid w:val="003232A2"/>
    <w:rsid w:val="00325C14"/>
    <w:rsid w:val="0036422C"/>
    <w:rsid w:val="003710F6"/>
    <w:rsid w:val="00386E88"/>
    <w:rsid w:val="00390825"/>
    <w:rsid w:val="00394230"/>
    <w:rsid w:val="00396585"/>
    <w:rsid w:val="003D6E38"/>
    <w:rsid w:val="003D74A0"/>
    <w:rsid w:val="004033D8"/>
    <w:rsid w:val="004073F0"/>
    <w:rsid w:val="00412A7D"/>
    <w:rsid w:val="00416B4D"/>
    <w:rsid w:val="00417CFC"/>
    <w:rsid w:val="004268FA"/>
    <w:rsid w:val="004A06DC"/>
    <w:rsid w:val="004B092B"/>
    <w:rsid w:val="004B24ED"/>
    <w:rsid w:val="004B6625"/>
    <w:rsid w:val="004D2D82"/>
    <w:rsid w:val="004D3876"/>
    <w:rsid w:val="004E4552"/>
    <w:rsid w:val="004E6CDF"/>
    <w:rsid w:val="00553C9D"/>
    <w:rsid w:val="00562A66"/>
    <w:rsid w:val="00584DF0"/>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95BE4"/>
    <w:rsid w:val="007C3FA6"/>
    <w:rsid w:val="007D585A"/>
    <w:rsid w:val="007D5A12"/>
    <w:rsid w:val="007E59F9"/>
    <w:rsid w:val="00807B0C"/>
    <w:rsid w:val="00810BCD"/>
    <w:rsid w:val="00812C98"/>
    <w:rsid w:val="00814D92"/>
    <w:rsid w:val="0083181D"/>
    <w:rsid w:val="00843EB2"/>
    <w:rsid w:val="00865572"/>
    <w:rsid w:val="00874BBC"/>
    <w:rsid w:val="00876E3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C2713"/>
    <w:rsid w:val="009D6E0A"/>
    <w:rsid w:val="009E1E33"/>
    <w:rsid w:val="00A14672"/>
    <w:rsid w:val="00A26BD6"/>
    <w:rsid w:val="00A443CF"/>
    <w:rsid w:val="00A6611D"/>
    <w:rsid w:val="00A82CB7"/>
    <w:rsid w:val="00A8556A"/>
    <w:rsid w:val="00A942C1"/>
    <w:rsid w:val="00AA2F03"/>
    <w:rsid w:val="00AC36F7"/>
    <w:rsid w:val="00AC63A4"/>
    <w:rsid w:val="00AC79D8"/>
    <w:rsid w:val="00AD239E"/>
    <w:rsid w:val="00B10265"/>
    <w:rsid w:val="00B16A99"/>
    <w:rsid w:val="00B17758"/>
    <w:rsid w:val="00B21211"/>
    <w:rsid w:val="00B35784"/>
    <w:rsid w:val="00B43CA5"/>
    <w:rsid w:val="00B733A7"/>
    <w:rsid w:val="00B75C91"/>
    <w:rsid w:val="00B975AD"/>
    <w:rsid w:val="00BC45FB"/>
    <w:rsid w:val="00BF148D"/>
    <w:rsid w:val="00C23B1A"/>
    <w:rsid w:val="00C310EB"/>
    <w:rsid w:val="00C9176A"/>
    <w:rsid w:val="00C94313"/>
    <w:rsid w:val="00CF1AA2"/>
    <w:rsid w:val="00D03D9A"/>
    <w:rsid w:val="00D17774"/>
    <w:rsid w:val="00D24B14"/>
    <w:rsid w:val="00D63620"/>
    <w:rsid w:val="00D66B7D"/>
    <w:rsid w:val="00D8410D"/>
    <w:rsid w:val="00D867D7"/>
    <w:rsid w:val="00DB1F13"/>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B3E02"/>
    <w:rsid w:val="00ED4A6F"/>
    <w:rsid w:val="00EF3A3A"/>
    <w:rsid w:val="00F628D6"/>
    <w:rsid w:val="00F67051"/>
    <w:rsid w:val="00F86A1E"/>
    <w:rsid w:val="00F927B3"/>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AC79D8"/>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AC79D8"/>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16B22-A822-4052-96CC-E1DC5F588487}"/>
</file>

<file path=customXml/itemProps2.xml><?xml version="1.0" encoding="utf-8"?>
<ds:datastoreItem xmlns:ds="http://schemas.openxmlformats.org/officeDocument/2006/customXml" ds:itemID="{88F4AFE3-9455-419C-8851-785A55F44517}"/>
</file>

<file path=customXml/itemProps3.xml><?xml version="1.0" encoding="utf-8"?>
<ds:datastoreItem xmlns:ds="http://schemas.openxmlformats.org/officeDocument/2006/customXml" ds:itemID="{53CDC32B-DD97-493E-9196-3EF77D6F9C7D}"/>
</file>

<file path=customXml/itemProps4.xml><?xml version="1.0" encoding="utf-8"?>
<ds:datastoreItem xmlns:ds="http://schemas.openxmlformats.org/officeDocument/2006/customXml" ds:itemID="{F68AB12B-FD1C-4C79-871E-A308FB527E56}"/>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2287</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שוש אזולאי</cp:lastModifiedBy>
  <cp:revision>2</cp:revision>
  <cp:lastPrinted>2016-06-01T07:15:00Z</cp:lastPrinted>
  <dcterms:created xsi:type="dcterms:W3CDTF">2016-06-01T07:17:00Z</dcterms:created>
  <dcterms:modified xsi:type="dcterms:W3CDTF">2016-06-01T07:17:00Z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8badafff-95aa-4718-b074-a2d35988ffa8</vt:lpwstr>
  </property>
  <property fmtid="{D5CDD505-2E9C-101B-9397-08002B2CF9AE}" pid="4" name="SanhedrinDocumentType">
    <vt:r8>88</vt:r8>
  </property>
  <property fmtid="{D5CDD505-2E9C-101B-9397-08002B2CF9AE}" pid="5" name="SanhedrinItemID">
    <vt:r8>2003300</vt:r8>
  </property>
</Properties>
</file>