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bookmarkStart w:id="0" w:name="_GoBack"/>
      <w:bookmarkEnd w:id="0"/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1" w:name="LGS_Internal_ID"/>
      <w:r>
        <w:rPr>
          <w:rFonts w:hint="cs"/>
          <w:b w:val="0"/>
          <w:bCs w:val="0"/>
          <w:szCs w:val="20"/>
          <w:rtl/>
        </w:rPr>
        <w:t>567164</w:t>
      </w:r>
      <w:bookmarkEnd w:id="1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2" w:name="LGS_Knesset_Num"/>
      <w:r>
        <w:rPr>
          <w:rFonts w:hint="cs"/>
          <w:sz w:val="28"/>
          <w:szCs w:val="28"/>
          <w:rtl/>
        </w:rPr>
        <w:t>העשרים</w:t>
      </w:r>
      <w:bookmarkEnd w:id="2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A" w14:textId="14647FE7" w:rsidR="00E13C27" w:rsidRPr="000942B0" w:rsidRDefault="008F6665" w:rsidP="000942B0">
      <w:pPr>
        <w:pStyle w:val="David"/>
        <w:spacing w:line="360" w:lineRule="auto"/>
        <w:ind w:left="3544"/>
        <w:rPr>
          <w:b/>
          <w:bCs/>
          <w:rtl/>
        </w:rPr>
      </w:pPr>
      <w:bookmarkStart w:id="3" w:name="LGS_Initiators_List"/>
      <w:r>
        <w:rPr>
          <w:b/>
          <w:bCs/>
          <w:rtl/>
        </w:rPr>
        <w:t>יוזמים:      חברי הכנסת</w:t>
      </w:r>
      <w:bookmarkEnd w:id="3"/>
      <w:r w:rsidR="00B35784" w:rsidRPr="00F67051">
        <w:rPr>
          <w:b/>
          <w:bCs/>
        </w:rPr>
        <w:tab/>
      </w:r>
      <w:bookmarkStart w:id="4" w:name="LGS_PM_Names"/>
      <w:r>
        <w:rPr>
          <w:rFonts w:hint="cs"/>
          <w:b/>
          <w:bCs/>
          <w:rtl/>
        </w:rPr>
        <w:t>בצלאל סמוטריץ'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רוברט אילטוב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יצחק וקנין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ינון מגל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מכלוף מיקי זוהר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מרדכי יוגב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אורן אסף חזן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דניאל עטר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דוד אמסלם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נורית קורן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אלי אלאלוף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ניסן סלומינסקי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יואב קיש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יואב בן צור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 w:rsidR="007D585A">
        <w:rPr>
          <w:rFonts w:hint="cs"/>
          <w:rtl/>
        </w:rPr>
        <w:t xml:space="preserve"> </w:t>
      </w:r>
      <w:bookmarkEnd w:id="5"/>
    </w:p>
    <w:p w14:paraId="693EE120" w14:textId="79E6644D" w:rsidR="005A01A5" w:rsidRPr="00745A10" w:rsidRDefault="00266D86" w:rsidP="00745A10">
      <w:pPr>
        <w:pStyle w:val="HeadHatzaotHok"/>
        <w:jc w:val="right"/>
        <w:rPr>
          <w:b w:val="0"/>
          <w:bCs w:val="0"/>
          <w:sz w:val="17"/>
          <w:szCs w:val="17"/>
        </w:rPr>
      </w:pPr>
      <w:r w:rsidRPr="00745A10">
        <w:rPr>
          <w:b w:val="0"/>
          <w:bCs w:val="0"/>
        </w:rPr>
        <w:t>____</w:t>
      </w:r>
      <w:r w:rsidR="00E374F2" w:rsidRPr="00745A10">
        <w:rPr>
          <w:b w:val="0"/>
          <w:bCs w:val="0"/>
        </w:rPr>
        <w:t>__</w:t>
      </w:r>
      <w:r w:rsidRPr="00745A10">
        <w:rPr>
          <w:b w:val="0"/>
          <w:bCs w:val="0"/>
        </w:rPr>
        <w:t>________________________________________</w:t>
      </w:r>
    </w:p>
    <w:p w14:paraId="1F39B476" w14:textId="0928EABD" w:rsidR="00427F1F" w:rsidRPr="00FC3550" w:rsidRDefault="00FC3550" w:rsidP="005A01A5">
      <w:pPr>
        <w:pStyle w:val="HeadHatzaotHok"/>
        <w:tabs>
          <w:tab w:val="left" w:pos="4071"/>
          <w:tab w:val="center" w:pos="4819"/>
        </w:tabs>
        <w:spacing w:before="0"/>
        <w:rPr>
          <w:b w:val="0"/>
          <w:bCs w:val="0"/>
          <w:sz w:val="26"/>
          <w:rtl/>
        </w:rPr>
      </w:pPr>
      <w:bookmarkStart w:id="6" w:name="Title"/>
      <w:r>
        <w:rPr>
          <w:rFonts w:hint="cs"/>
          <w:b w:val="0"/>
          <w:bCs w:val="0"/>
          <w:sz w:val="26"/>
          <w:rtl/>
        </w:rPr>
        <w:t xml:space="preserve">                                                                            </w:t>
      </w:r>
      <w:r w:rsidRPr="00FC3550">
        <w:rPr>
          <w:rFonts w:hint="cs"/>
          <w:b w:val="0"/>
          <w:bCs w:val="0"/>
          <w:sz w:val="26"/>
          <w:rtl/>
        </w:rPr>
        <w:t>פ/2018/20</w:t>
      </w:r>
    </w:p>
    <w:p w14:paraId="08EB951B" w14:textId="77777777" w:rsidR="00427F1F" w:rsidRDefault="00427F1F" w:rsidP="00427F1F">
      <w:pPr>
        <w:pStyle w:val="HeadHatzaotHok"/>
        <w:tabs>
          <w:tab w:val="left" w:pos="4071"/>
          <w:tab w:val="center" w:pos="4819"/>
        </w:tabs>
        <w:spacing w:before="0"/>
        <w:rPr>
          <w:sz w:val="26"/>
          <w:rtl/>
        </w:rPr>
      </w:pPr>
    </w:p>
    <w:p w14:paraId="4BE02CF6" w14:textId="50C3CF5A" w:rsidR="005A01A5" w:rsidRDefault="005A01A5" w:rsidP="00427F1F">
      <w:pPr>
        <w:pStyle w:val="HeadHatzaotHok"/>
        <w:tabs>
          <w:tab w:val="left" w:pos="4071"/>
          <w:tab w:val="center" w:pos="4819"/>
        </w:tabs>
        <w:spacing w:before="0"/>
        <w:rPr>
          <w:sz w:val="26"/>
          <w:rtl/>
        </w:rPr>
      </w:pPr>
      <w:r w:rsidRPr="00A013B2">
        <w:rPr>
          <w:sz w:val="26"/>
          <w:rtl/>
        </w:rPr>
        <w:t>הצעת חוק הרשות לפיתוח הנגב (תיקון מס' 4)</w:t>
      </w:r>
      <w:r>
        <w:rPr>
          <w:sz w:val="26"/>
          <w:rtl/>
        </w:rPr>
        <w:t xml:space="preserve"> (תיקון), התשע"ה–</w:t>
      </w:r>
      <w:r w:rsidRPr="00A013B2">
        <w:rPr>
          <w:sz w:val="26"/>
          <w:rtl/>
        </w:rPr>
        <w:t>201</w:t>
      </w:r>
      <w:bookmarkEnd w:id="6"/>
      <w:r>
        <w:rPr>
          <w:sz w:val="26"/>
          <w:rtl/>
        </w:rPr>
        <w:t>5</w:t>
      </w:r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624"/>
        <w:gridCol w:w="624"/>
        <w:gridCol w:w="6520"/>
      </w:tblGrid>
      <w:tr w:rsidR="005A01A5" w14:paraId="27568823" w14:textId="77777777" w:rsidTr="000A4506">
        <w:trPr>
          <w:cantSplit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229C0B1" w14:textId="77777777" w:rsidR="005A01A5" w:rsidRDefault="005A01A5" w:rsidP="005733CA">
            <w:pPr>
              <w:pStyle w:val="TableSideHeading"/>
            </w:pPr>
            <w:r>
              <w:rPr>
                <w:sz w:val="26"/>
                <w:rtl/>
              </w:rPr>
              <w:t>תיקון סעיף 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6D232A6" w14:textId="77777777" w:rsidR="005A01A5" w:rsidRDefault="005A01A5" w:rsidP="005733CA">
            <w:pPr>
              <w:pStyle w:val="TableText"/>
            </w:pPr>
            <w:r>
              <w:rPr>
                <w:sz w:val="26"/>
                <w:rtl/>
              </w:rPr>
              <w:t>1.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DD6CF" w14:textId="77777777" w:rsidR="005A01A5" w:rsidRPr="00055061" w:rsidRDefault="005A01A5" w:rsidP="005733CA">
            <w:pPr>
              <w:pStyle w:val="TableBlock"/>
              <w:rPr>
                <w:sz w:val="26"/>
              </w:rPr>
            </w:pPr>
            <w:r>
              <w:rPr>
                <w:sz w:val="26"/>
                <w:rtl/>
              </w:rPr>
              <w:t>בחוק הרשות לפיתוח הנגב (תיקון מס' 4), התש"ע–2010</w:t>
            </w:r>
            <w:r>
              <w:rPr>
                <w:rStyle w:val="a6"/>
                <w:sz w:val="26"/>
                <w:rtl/>
              </w:rPr>
              <w:footnoteReference w:id="2"/>
            </w:r>
            <w:r>
              <w:rPr>
                <w:sz w:val="26"/>
                <w:rtl/>
              </w:rPr>
              <w:t xml:space="preserve"> (להלן – החוק העיקרי), בסעיף 5 – </w:t>
            </w:r>
          </w:p>
        </w:tc>
      </w:tr>
      <w:tr w:rsidR="005A01A5" w14:paraId="742ED1E9" w14:textId="77777777" w:rsidTr="000A4506">
        <w:trPr>
          <w:cantSplit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DB15E63" w14:textId="77777777" w:rsidR="005A01A5" w:rsidRDefault="005A01A5" w:rsidP="005733CA">
            <w:pPr>
              <w:pStyle w:val="TableSideHeading"/>
              <w:rPr>
                <w:sz w:val="26"/>
                <w:rtl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87ED43B" w14:textId="77777777" w:rsidR="005A01A5" w:rsidRDefault="005A01A5" w:rsidP="005733CA">
            <w:pPr>
              <w:pStyle w:val="TableText"/>
              <w:rPr>
                <w:rtl/>
              </w:rPr>
            </w:pP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C74D2" w14:textId="29AB3B76" w:rsidR="005A01A5" w:rsidRPr="00107694" w:rsidRDefault="00427F1F" w:rsidP="00B779BA">
            <w:pPr>
              <w:pStyle w:val="TableBlock"/>
              <w:rPr>
                <w:sz w:val="26"/>
                <w:rtl/>
              </w:rPr>
            </w:pPr>
            <w:r>
              <w:rPr>
                <w:sz w:val="26"/>
                <w:rtl/>
              </w:rPr>
              <w:t>(1)</w:t>
            </w:r>
            <w:r>
              <w:rPr>
                <w:sz w:val="26"/>
                <w:rtl/>
              </w:rPr>
              <w:tab/>
            </w:r>
            <w:r w:rsidR="005A01A5">
              <w:rPr>
                <w:sz w:val="26"/>
                <w:rtl/>
              </w:rPr>
              <w:t xml:space="preserve">בסעיף קטן (א), </w:t>
            </w:r>
            <w:r>
              <w:rPr>
                <w:sz w:val="26"/>
                <w:rtl/>
              </w:rPr>
              <w:t>בהגדר</w:t>
            </w:r>
            <w:r>
              <w:rPr>
                <w:rFonts w:hint="cs"/>
                <w:sz w:val="26"/>
                <w:rtl/>
              </w:rPr>
              <w:t>ה</w:t>
            </w:r>
            <w:r>
              <w:rPr>
                <w:sz w:val="26"/>
                <w:rtl/>
              </w:rPr>
              <w:t xml:space="preserve"> </w:t>
            </w:r>
            <w:r w:rsidR="005A01A5">
              <w:rPr>
                <w:sz w:val="26"/>
                <w:rtl/>
              </w:rPr>
              <w:t xml:space="preserve">"מקרקעין", בסופה יבוא "או מקרקעין שנעשה בהם שימוש, לפני </w:t>
            </w:r>
            <w:r w:rsidR="00B779BA">
              <w:rPr>
                <w:rFonts w:hint="cs"/>
                <w:sz w:val="26"/>
                <w:rtl/>
              </w:rPr>
              <w:t>אותו מועד</w:t>
            </w:r>
            <w:r w:rsidR="005A01A5">
              <w:rPr>
                <w:sz w:val="26"/>
                <w:rtl/>
              </w:rPr>
              <w:t>, בהסכמת רשות מקרקעי ישראל או בתיאום עמה או עם גוף אחר מטעמה";</w:t>
            </w:r>
          </w:p>
        </w:tc>
      </w:tr>
      <w:tr w:rsidR="005A01A5" w14:paraId="72B7872F" w14:textId="77777777" w:rsidTr="000A4506">
        <w:trPr>
          <w:cantSplit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337C45E" w14:textId="77777777" w:rsidR="005A01A5" w:rsidRDefault="005A01A5" w:rsidP="005733CA">
            <w:pPr>
              <w:pStyle w:val="TableSideHeading"/>
              <w:rPr>
                <w:sz w:val="26"/>
                <w:rtl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D751334" w14:textId="77777777" w:rsidR="005A01A5" w:rsidRDefault="005A01A5" w:rsidP="005733CA">
            <w:pPr>
              <w:pStyle w:val="TableText"/>
              <w:rPr>
                <w:rtl/>
              </w:rPr>
            </w:pP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50897" w14:textId="674EC4D4" w:rsidR="005A01A5" w:rsidRDefault="005A01A5" w:rsidP="00E23D6A">
            <w:pPr>
              <w:pStyle w:val="TableBlock"/>
              <w:rPr>
                <w:sz w:val="26"/>
                <w:rtl/>
              </w:rPr>
            </w:pPr>
            <w:r>
              <w:rPr>
                <w:sz w:val="26"/>
                <w:rtl/>
              </w:rPr>
              <w:t xml:space="preserve">(2)  </w:t>
            </w:r>
            <w:r w:rsidR="00427F1F">
              <w:rPr>
                <w:sz w:val="26"/>
                <w:rtl/>
              </w:rPr>
              <w:tab/>
            </w:r>
            <w:r>
              <w:rPr>
                <w:sz w:val="26"/>
                <w:rtl/>
              </w:rPr>
              <w:t>במקום סעיף</w:t>
            </w:r>
            <w:r w:rsidR="000A4506">
              <w:rPr>
                <w:rFonts w:hint="cs"/>
                <w:sz w:val="26"/>
                <w:rtl/>
              </w:rPr>
              <w:t xml:space="preserve"> קטן</w:t>
            </w:r>
            <w:r>
              <w:rPr>
                <w:sz w:val="26"/>
                <w:rtl/>
              </w:rPr>
              <w:t xml:space="preserve"> (ג) יבוא: </w:t>
            </w:r>
          </w:p>
        </w:tc>
      </w:tr>
      <w:tr w:rsidR="00E23D6A" w14:paraId="609C15F7" w14:textId="77777777" w:rsidTr="000A4506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0" w:type="dxa"/>
          </w:tcPr>
          <w:p w14:paraId="1DC098B8" w14:textId="77777777" w:rsidR="00E23D6A" w:rsidRDefault="00E23D6A">
            <w:pPr>
              <w:pStyle w:val="TableSideHeading"/>
            </w:pPr>
          </w:p>
        </w:tc>
        <w:tc>
          <w:tcPr>
            <w:tcW w:w="624" w:type="dxa"/>
          </w:tcPr>
          <w:p w14:paraId="00AF8105" w14:textId="77777777" w:rsidR="00E23D6A" w:rsidRDefault="00E23D6A">
            <w:pPr>
              <w:pStyle w:val="TableText"/>
            </w:pPr>
          </w:p>
        </w:tc>
        <w:tc>
          <w:tcPr>
            <w:tcW w:w="624" w:type="dxa"/>
          </w:tcPr>
          <w:p w14:paraId="67F55CCE" w14:textId="77777777" w:rsidR="00E23D6A" w:rsidRDefault="00E23D6A">
            <w:pPr>
              <w:pStyle w:val="TableText"/>
            </w:pPr>
          </w:p>
        </w:tc>
        <w:tc>
          <w:tcPr>
            <w:tcW w:w="6520" w:type="dxa"/>
          </w:tcPr>
          <w:p w14:paraId="4AF62952" w14:textId="6BEE7D2C" w:rsidR="00E23D6A" w:rsidRDefault="00E23D6A">
            <w:pPr>
              <w:pStyle w:val="TableBlock"/>
            </w:pPr>
            <w:r>
              <w:rPr>
                <w:sz w:val="26"/>
                <w:rtl/>
              </w:rPr>
              <w:t>"</w:t>
            </w:r>
            <w:r w:rsidR="00F3545A">
              <w:rPr>
                <w:rFonts w:hint="cs"/>
                <w:sz w:val="26"/>
                <w:rtl/>
              </w:rPr>
              <w:t>(ג)</w:t>
            </w:r>
            <w:r w:rsidR="00F3545A">
              <w:rPr>
                <w:sz w:val="26"/>
                <w:rtl/>
              </w:rPr>
              <w:tab/>
            </w:r>
            <w:r>
              <w:rPr>
                <w:sz w:val="26"/>
                <w:rtl/>
              </w:rPr>
              <w:t>הוועדה הבין-משרדית תמסור לשר את המלצתה כאמור בסעיף קטן (ב)</w:t>
            </w:r>
            <w:r w:rsidR="00107694">
              <w:rPr>
                <w:rFonts w:hint="cs"/>
                <w:sz w:val="26"/>
                <w:rtl/>
              </w:rPr>
              <w:t xml:space="preserve"> לגבי בקשה לאישור מיזם</w:t>
            </w:r>
            <w:r>
              <w:rPr>
                <w:sz w:val="26"/>
                <w:rtl/>
              </w:rPr>
              <w:t>, בהתחשב בקיומם של התנאים האמורים באותו סעיף קטן</w:t>
            </w:r>
            <w:r w:rsidR="00DB670D">
              <w:rPr>
                <w:rFonts w:hint="cs"/>
                <w:sz w:val="26"/>
                <w:rtl/>
              </w:rPr>
              <w:t>.</w:t>
            </w:r>
            <w:r>
              <w:rPr>
                <w:sz w:val="26"/>
                <w:rtl/>
              </w:rPr>
              <w:t>";</w:t>
            </w:r>
          </w:p>
        </w:tc>
      </w:tr>
      <w:tr w:rsidR="00666FF8" w14:paraId="3B38B303" w14:textId="77777777" w:rsidTr="00121A21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0" w:type="dxa"/>
          </w:tcPr>
          <w:p w14:paraId="30E5C808" w14:textId="77777777" w:rsidR="00666FF8" w:rsidRDefault="00666FF8">
            <w:pPr>
              <w:pStyle w:val="TableSideHeading"/>
            </w:pPr>
          </w:p>
        </w:tc>
        <w:tc>
          <w:tcPr>
            <w:tcW w:w="624" w:type="dxa"/>
          </w:tcPr>
          <w:p w14:paraId="7A379CB1" w14:textId="77777777" w:rsidR="00666FF8" w:rsidRDefault="00666FF8">
            <w:pPr>
              <w:pStyle w:val="TableText"/>
            </w:pPr>
          </w:p>
        </w:tc>
        <w:tc>
          <w:tcPr>
            <w:tcW w:w="7144" w:type="dxa"/>
            <w:gridSpan w:val="2"/>
          </w:tcPr>
          <w:p w14:paraId="42831E93" w14:textId="72C50F1B" w:rsidR="00666FF8" w:rsidRPr="00C34DE2" w:rsidRDefault="00666FF8">
            <w:pPr>
              <w:pStyle w:val="TableBlock"/>
            </w:pPr>
            <w:r>
              <w:rPr>
                <w:rFonts w:hint="cs"/>
                <w:rtl/>
              </w:rPr>
              <w:t>(3)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אחרי סעיף קטן (ג) יבוא:</w:t>
            </w:r>
          </w:p>
        </w:tc>
      </w:tr>
      <w:tr w:rsidR="00666FF8" w14:paraId="561F3548" w14:textId="77777777" w:rsidTr="00121A21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0" w:type="dxa"/>
          </w:tcPr>
          <w:p w14:paraId="5CF5CAC1" w14:textId="77777777" w:rsidR="00666FF8" w:rsidRDefault="00666FF8">
            <w:pPr>
              <w:pStyle w:val="TableSideHeading"/>
            </w:pPr>
          </w:p>
        </w:tc>
        <w:tc>
          <w:tcPr>
            <w:tcW w:w="624" w:type="dxa"/>
          </w:tcPr>
          <w:p w14:paraId="5C704639" w14:textId="77777777" w:rsidR="00666FF8" w:rsidRDefault="00666FF8">
            <w:pPr>
              <w:pStyle w:val="TableText"/>
            </w:pPr>
          </w:p>
        </w:tc>
        <w:tc>
          <w:tcPr>
            <w:tcW w:w="624" w:type="dxa"/>
          </w:tcPr>
          <w:p w14:paraId="5A42D910" w14:textId="77777777" w:rsidR="00666FF8" w:rsidRDefault="00666FF8">
            <w:pPr>
              <w:pStyle w:val="TableText"/>
            </w:pPr>
          </w:p>
        </w:tc>
        <w:tc>
          <w:tcPr>
            <w:tcW w:w="6520" w:type="dxa"/>
          </w:tcPr>
          <w:p w14:paraId="518E2B47" w14:textId="74431D31" w:rsidR="00666FF8" w:rsidRDefault="00666FF8" w:rsidP="00012C38">
            <w:pPr>
              <w:pStyle w:val="TableBlock"/>
            </w:pPr>
            <w:r w:rsidRPr="002B7F56">
              <w:rPr>
                <w:rtl/>
              </w:rPr>
              <w:t>"(ג1)</w:t>
            </w:r>
            <w:r w:rsidRPr="002B7F56">
              <w:rPr>
                <w:rtl/>
              </w:rPr>
              <w:tab/>
            </w:r>
            <w:r w:rsidRPr="00D158AE">
              <w:rPr>
                <w:sz w:val="26"/>
                <w:rtl/>
              </w:rPr>
              <w:t xml:space="preserve">לא העבירה הוועדה הבין-משרדית </w:t>
            </w:r>
            <w:r w:rsidR="00B47489">
              <w:rPr>
                <w:rFonts w:hint="cs"/>
                <w:sz w:val="26"/>
                <w:rtl/>
              </w:rPr>
              <w:t xml:space="preserve">את </w:t>
            </w:r>
            <w:r w:rsidRPr="00D158AE">
              <w:rPr>
                <w:sz w:val="26"/>
                <w:rtl/>
              </w:rPr>
              <w:t>המלצ</w:t>
            </w:r>
            <w:r w:rsidR="00B47489">
              <w:rPr>
                <w:rFonts w:hint="cs"/>
                <w:sz w:val="26"/>
                <w:rtl/>
              </w:rPr>
              <w:t>ת</w:t>
            </w:r>
            <w:r w:rsidRPr="00D158AE">
              <w:rPr>
                <w:sz w:val="26"/>
                <w:rtl/>
              </w:rPr>
              <w:t xml:space="preserve">ה לשר </w:t>
            </w:r>
            <w:r w:rsidR="00B47489">
              <w:rPr>
                <w:rFonts w:hint="cs"/>
                <w:sz w:val="26"/>
                <w:rtl/>
              </w:rPr>
              <w:t xml:space="preserve">לפי סעיף קטן (ג) </w:t>
            </w:r>
            <w:r w:rsidR="00D158AE" w:rsidRPr="00012C38">
              <w:rPr>
                <w:rFonts w:hint="eastAsia"/>
                <w:sz w:val="26"/>
                <w:rtl/>
              </w:rPr>
              <w:t>ב</w:t>
            </w:r>
            <w:r w:rsidRPr="00D158AE">
              <w:rPr>
                <w:sz w:val="26"/>
                <w:rtl/>
              </w:rPr>
              <w:t xml:space="preserve">תוך </w:t>
            </w:r>
            <w:r w:rsidR="00B47489">
              <w:rPr>
                <w:rFonts w:hint="cs"/>
                <w:sz w:val="26"/>
                <w:rtl/>
              </w:rPr>
              <w:t>שבע</w:t>
            </w:r>
            <w:r w:rsidRPr="00D158AE">
              <w:rPr>
                <w:sz w:val="26"/>
                <w:rtl/>
              </w:rPr>
              <w:t xml:space="preserve"> שנים מיום התחילה, יראו אותה כאילו המליצה לשר ליתן אישור לפי</w:t>
            </w:r>
            <w:r w:rsidR="00B47489">
              <w:rPr>
                <w:rFonts w:hint="cs"/>
                <w:sz w:val="26"/>
                <w:rtl/>
              </w:rPr>
              <w:t xml:space="preserve"> אותו</w:t>
            </w:r>
            <w:r w:rsidR="00B47489">
              <w:rPr>
                <w:sz w:val="26"/>
                <w:rtl/>
              </w:rPr>
              <w:t xml:space="preserve"> סעיף קטן</w:t>
            </w:r>
            <w:r w:rsidR="00B47489">
              <w:rPr>
                <w:rFonts w:hint="cs"/>
                <w:sz w:val="26"/>
                <w:rtl/>
              </w:rPr>
              <w:t>.</w:t>
            </w:r>
            <w:r w:rsidRPr="00D158AE">
              <w:rPr>
                <w:sz w:val="26"/>
                <w:rtl/>
              </w:rPr>
              <w:t>"</w:t>
            </w:r>
            <w:r w:rsidR="000D40D6">
              <w:rPr>
                <w:rFonts w:hint="cs"/>
                <w:rtl/>
              </w:rPr>
              <w:t>;</w:t>
            </w:r>
          </w:p>
        </w:tc>
      </w:tr>
      <w:tr w:rsidR="00427F1F" w14:paraId="2DD5D58C" w14:textId="77777777" w:rsidTr="000A4506">
        <w:trPr>
          <w:cantSplit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9EF8255" w14:textId="77777777" w:rsidR="00427F1F" w:rsidRDefault="00427F1F" w:rsidP="005733CA">
            <w:pPr>
              <w:pStyle w:val="TableSideHeading"/>
              <w:rPr>
                <w:sz w:val="26"/>
                <w:rtl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467EBFE" w14:textId="77777777" w:rsidR="00427F1F" w:rsidRDefault="00427F1F" w:rsidP="00427F1F">
            <w:pPr>
              <w:pStyle w:val="TableText"/>
              <w:rPr>
                <w:rtl/>
              </w:rPr>
            </w:pP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54571" w14:textId="18FEDC04" w:rsidR="00427F1F" w:rsidRDefault="00427F1F" w:rsidP="000D40D6">
            <w:pPr>
              <w:pStyle w:val="TableBlock"/>
              <w:rPr>
                <w:sz w:val="26"/>
                <w:rtl/>
              </w:rPr>
            </w:pPr>
            <w:r>
              <w:rPr>
                <w:sz w:val="26"/>
                <w:rtl/>
              </w:rPr>
              <w:t>(</w:t>
            </w:r>
            <w:r w:rsidR="00666FF8">
              <w:rPr>
                <w:rFonts w:hint="cs"/>
                <w:sz w:val="26"/>
                <w:rtl/>
              </w:rPr>
              <w:t>4</w:t>
            </w:r>
            <w:r>
              <w:rPr>
                <w:sz w:val="26"/>
                <w:rtl/>
              </w:rPr>
              <w:t>)</w:t>
            </w:r>
            <w:r w:rsidR="00DB670D">
              <w:rPr>
                <w:sz w:val="26"/>
                <w:rtl/>
              </w:rPr>
              <w:tab/>
            </w:r>
            <w:r>
              <w:rPr>
                <w:sz w:val="26"/>
                <w:rtl/>
              </w:rPr>
              <w:t xml:space="preserve"> בסעיף קטן (ה), </w:t>
            </w:r>
            <w:r w:rsidR="006C3865">
              <w:rPr>
                <w:rFonts w:hint="cs"/>
                <w:sz w:val="26"/>
                <w:rtl/>
              </w:rPr>
              <w:t>אחרי</w:t>
            </w:r>
            <w:r w:rsidR="006C3865">
              <w:rPr>
                <w:sz w:val="26"/>
                <w:rtl/>
              </w:rPr>
              <w:t xml:space="preserve"> "על אף הוראות כל דין" יבוא "לרבות תכנית כמשמעותה בחוק התכנון והבניה, התשכ"ה–1965</w:t>
            </w:r>
            <w:r w:rsidR="006C3865">
              <w:rPr>
                <w:rStyle w:val="a6"/>
                <w:sz w:val="26"/>
                <w:rtl/>
              </w:rPr>
              <w:footnoteReference w:id="3"/>
            </w:r>
            <w:r w:rsidR="006C3865">
              <w:rPr>
                <w:rFonts w:hint="cs"/>
                <w:sz w:val="26"/>
                <w:rtl/>
              </w:rPr>
              <w:t>", ו</w:t>
            </w:r>
            <w:r w:rsidR="006C3865">
              <w:rPr>
                <w:sz w:val="26"/>
                <w:rtl/>
              </w:rPr>
              <w:t xml:space="preserve">בסופו יבוא "אין </w:t>
            </w:r>
            <w:r w:rsidR="006C3865">
              <w:rPr>
                <w:rFonts w:hint="cs"/>
                <w:sz w:val="26"/>
                <w:rtl/>
              </w:rPr>
              <w:t>בהוראות</w:t>
            </w:r>
            <w:r w:rsidR="006C3865">
              <w:rPr>
                <w:sz w:val="26"/>
                <w:rtl/>
              </w:rPr>
              <w:t xml:space="preserve"> סעיף קטן זה כדי לגרוע מהחובה להשלים את הסדרתו התכנונית של המיזם לפי הוראות כל דין, בהמשך </w:t>
            </w:r>
            <w:r w:rsidR="000D40D6">
              <w:rPr>
                <w:rFonts w:hint="cs"/>
                <w:sz w:val="26"/>
                <w:rtl/>
              </w:rPr>
              <w:t>לחתימת חוזה</w:t>
            </w:r>
            <w:r w:rsidR="006C3865">
              <w:rPr>
                <w:sz w:val="26"/>
                <w:rtl/>
              </w:rPr>
              <w:t xml:space="preserve"> לפי סעיף קטן זה</w:t>
            </w:r>
            <w:r w:rsidR="000D40D6">
              <w:rPr>
                <w:rFonts w:hint="cs"/>
                <w:sz w:val="26"/>
                <w:rtl/>
              </w:rPr>
              <w:t>.</w:t>
            </w:r>
            <w:r w:rsidR="006C3865">
              <w:rPr>
                <w:sz w:val="26"/>
                <w:rtl/>
              </w:rPr>
              <w:t>"</w:t>
            </w:r>
            <w:r w:rsidR="000D40D6">
              <w:rPr>
                <w:rFonts w:hint="cs"/>
                <w:sz w:val="26"/>
                <w:rtl/>
              </w:rPr>
              <w:t>;</w:t>
            </w:r>
          </w:p>
        </w:tc>
      </w:tr>
      <w:tr w:rsidR="00427F1F" w14:paraId="1289A229" w14:textId="77777777" w:rsidTr="000A4506">
        <w:trPr>
          <w:cantSplit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2B0C62A" w14:textId="77777777" w:rsidR="00427F1F" w:rsidRDefault="00427F1F" w:rsidP="005733CA">
            <w:pPr>
              <w:pStyle w:val="TableSideHeading"/>
              <w:rPr>
                <w:sz w:val="26"/>
                <w:rtl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2AF2EBF" w14:textId="77777777" w:rsidR="00427F1F" w:rsidRDefault="00427F1F" w:rsidP="00427F1F">
            <w:pPr>
              <w:pStyle w:val="TableText"/>
              <w:rPr>
                <w:rtl/>
              </w:rPr>
            </w:pP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12809" w14:textId="5EBE7E2D" w:rsidR="00427F1F" w:rsidRDefault="00427F1F" w:rsidP="00121A21">
            <w:pPr>
              <w:pStyle w:val="TableBlock"/>
              <w:rPr>
                <w:sz w:val="26"/>
                <w:rtl/>
              </w:rPr>
            </w:pPr>
            <w:r>
              <w:rPr>
                <w:sz w:val="26"/>
                <w:rtl/>
              </w:rPr>
              <w:t xml:space="preserve">(5) </w:t>
            </w:r>
            <w:r w:rsidR="002805F8">
              <w:rPr>
                <w:sz w:val="26"/>
                <w:rtl/>
              </w:rPr>
              <w:tab/>
              <w:t>בסעיף קטן (ו),</w:t>
            </w:r>
            <w:r w:rsidR="00666FF8">
              <w:rPr>
                <w:rFonts w:hint="cs"/>
                <w:sz w:val="26"/>
                <w:rtl/>
              </w:rPr>
              <w:t xml:space="preserve"> </w:t>
            </w:r>
            <w:r w:rsidR="00407291">
              <w:rPr>
                <w:rFonts w:hint="cs"/>
                <w:sz w:val="26"/>
                <w:rtl/>
              </w:rPr>
              <w:t>במקום</w:t>
            </w:r>
            <w:r w:rsidR="00666FF8">
              <w:rPr>
                <w:rFonts w:hint="cs"/>
                <w:sz w:val="26"/>
                <w:rtl/>
              </w:rPr>
              <w:t xml:space="preserve"> "מי</w:t>
            </w:r>
            <w:r w:rsidR="00407291">
              <w:rPr>
                <w:rFonts w:hint="cs"/>
                <w:sz w:val="26"/>
                <w:rtl/>
              </w:rPr>
              <w:t>ו</w:t>
            </w:r>
            <w:r w:rsidR="00666FF8">
              <w:rPr>
                <w:rFonts w:hint="cs"/>
                <w:sz w:val="26"/>
                <w:rtl/>
              </w:rPr>
              <w:t xml:space="preserve">ם התחילה" יבוא </w:t>
            </w:r>
            <w:r w:rsidR="00666FF8">
              <w:rPr>
                <w:sz w:val="26"/>
                <w:rtl/>
              </w:rPr>
              <w:t>"מיום מתן אישור השר לפי סעיף קטן (ב)</w:t>
            </w:r>
            <w:r w:rsidR="00234E54">
              <w:rPr>
                <w:rFonts w:hint="cs"/>
                <w:sz w:val="26"/>
                <w:rtl/>
              </w:rPr>
              <w:t>".</w:t>
            </w:r>
          </w:p>
        </w:tc>
      </w:tr>
      <w:tr w:rsidR="00A759FA" w14:paraId="12782840" w14:textId="77777777" w:rsidTr="000A4506">
        <w:trPr>
          <w:cantSplit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1BE3EAF" w14:textId="7815080A" w:rsidR="00A759FA" w:rsidRDefault="00A759FA" w:rsidP="00427F1F">
            <w:pPr>
              <w:pStyle w:val="TableSideHeading"/>
              <w:rPr>
                <w:sz w:val="26"/>
                <w:rtl/>
              </w:rPr>
            </w:pPr>
            <w:r>
              <w:rPr>
                <w:sz w:val="26"/>
                <w:rtl/>
              </w:rPr>
              <w:t>תיקון חוק בתי משפט לעניינים מינהליים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A77627D" w14:textId="71319024" w:rsidR="00A759FA" w:rsidRDefault="00A759FA" w:rsidP="00427F1F">
            <w:pPr>
              <w:pStyle w:val="TableText"/>
              <w:rPr>
                <w:rtl/>
              </w:rPr>
            </w:pPr>
            <w:r>
              <w:rPr>
                <w:rtl/>
              </w:rPr>
              <w:t>2.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A47FA" w14:textId="1C7ABBD1" w:rsidR="00A759FA" w:rsidRPr="00A2091C" w:rsidRDefault="00A759FA" w:rsidP="00234E54">
            <w:pPr>
              <w:pStyle w:val="TableBlock"/>
              <w:rPr>
                <w:sz w:val="26"/>
                <w:rtl/>
              </w:rPr>
            </w:pPr>
            <w:r>
              <w:rPr>
                <w:sz w:val="26"/>
                <w:rtl/>
              </w:rPr>
              <w:t>בחוק בתי משפט לעניינים מינהליים, התש"ס–2000</w:t>
            </w:r>
            <w:r>
              <w:rPr>
                <w:rStyle w:val="a6"/>
                <w:sz w:val="26"/>
                <w:rtl/>
              </w:rPr>
              <w:footnoteReference w:id="4"/>
            </w:r>
            <w:r>
              <w:rPr>
                <w:rFonts w:hint="cs"/>
                <w:sz w:val="26"/>
                <w:rtl/>
              </w:rPr>
              <w:t>,</w:t>
            </w:r>
            <w:r>
              <w:rPr>
                <w:sz w:val="26"/>
                <w:rtl/>
              </w:rPr>
              <w:t xml:space="preserve"> </w:t>
            </w:r>
            <w:r>
              <w:rPr>
                <w:rFonts w:hint="cs"/>
                <w:sz w:val="26"/>
                <w:rtl/>
              </w:rPr>
              <w:t xml:space="preserve">בתוספת הראשונה, </w:t>
            </w:r>
            <w:r>
              <w:rPr>
                <w:sz w:val="26"/>
                <w:rtl/>
              </w:rPr>
              <w:t>אחרי פרט 50 יבוא</w:t>
            </w:r>
            <w:r>
              <w:rPr>
                <w:rFonts w:hint="cs"/>
                <w:sz w:val="26"/>
                <w:rtl/>
              </w:rPr>
              <w:t>:</w:t>
            </w:r>
          </w:p>
        </w:tc>
      </w:tr>
      <w:tr w:rsidR="00A759FA" w14:paraId="2E4E3B40" w14:textId="77777777" w:rsidTr="000A4506">
        <w:trPr>
          <w:cantSplit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A7572A7" w14:textId="77777777" w:rsidR="00A759FA" w:rsidRDefault="00A759FA" w:rsidP="00427F1F">
            <w:pPr>
              <w:pStyle w:val="TableSideHeading"/>
              <w:rPr>
                <w:sz w:val="26"/>
                <w:rtl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6BC5C1E" w14:textId="77777777" w:rsidR="00A759FA" w:rsidRDefault="00A759FA" w:rsidP="00427F1F">
            <w:pPr>
              <w:pStyle w:val="TableText"/>
              <w:rPr>
                <w:rtl/>
              </w:rPr>
            </w:pP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6B081" w14:textId="37E31847" w:rsidR="00A759FA" w:rsidRDefault="00A759FA" w:rsidP="00234E54">
            <w:pPr>
              <w:pStyle w:val="TableBlock"/>
              <w:rPr>
                <w:sz w:val="26"/>
                <w:rtl/>
              </w:rPr>
            </w:pPr>
            <w:r>
              <w:rPr>
                <w:sz w:val="26"/>
                <w:rtl/>
              </w:rPr>
              <w:t>"</w:t>
            </w:r>
            <w:r>
              <w:rPr>
                <w:rFonts w:hint="cs"/>
                <w:sz w:val="26"/>
                <w:rtl/>
              </w:rPr>
              <w:t>51.</w:t>
            </w:r>
            <w:r>
              <w:rPr>
                <w:sz w:val="26"/>
                <w:rtl/>
              </w:rPr>
              <w:tab/>
              <w:t>החלטה של השר</w:t>
            </w:r>
            <w:r>
              <w:rPr>
                <w:rFonts w:hint="cs"/>
                <w:sz w:val="26"/>
                <w:rtl/>
              </w:rPr>
              <w:t xml:space="preserve"> לפיתוח הנגב והגליל</w:t>
            </w:r>
            <w:r>
              <w:rPr>
                <w:sz w:val="26"/>
                <w:rtl/>
              </w:rPr>
              <w:t>, של הוועדה הבין-משרדית או של רשות אחרת, לפי חוק הרשות לפיתוח הנגב (תיקון מס' 4), התש"ע–2010</w:t>
            </w:r>
            <w:r>
              <w:rPr>
                <w:rFonts w:hint="cs"/>
                <w:sz w:val="26"/>
                <w:rtl/>
              </w:rPr>
              <w:t>.</w:t>
            </w:r>
            <w:r>
              <w:rPr>
                <w:sz w:val="26"/>
                <w:rtl/>
              </w:rPr>
              <w:t>"</w:t>
            </w:r>
          </w:p>
        </w:tc>
      </w:tr>
      <w:tr w:rsidR="005A01A5" w14:paraId="31964226" w14:textId="77777777" w:rsidTr="000A4506">
        <w:trPr>
          <w:cantSplit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C179F4D" w14:textId="68082C37" w:rsidR="005A01A5" w:rsidRDefault="005A01A5" w:rsidP="00427F1F">
            <w:pPr>
              <w:pStyle w:val="TableSideHeading"/>
              <w:rPr>
                <w:sz w:val="26"/>
                <w:rtl/>
              </w:rPr>
            </w:pPr>
            <w:r>
              <w:rPr>
                <w:sz w:val="26"/>
                <w:rtl/>
              </w:rPr>
              <w:t>הוראות מעבר</w:t>
            </w:r>
          </w:p>
          <w:p w14:paraId="41473739" w14:textId="00B92F68" w:rsidR="005A01A5" w:rsidRPr="004424B1" w:rsidRDefault="005A01A5" w:rsidP="005733CA">
            <w:pPr>
              <w:pStyle w:val="TableSideHeading"/>
              <w:rPr>
                <w:sz w:val="26"/>
                <w:rtl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945F742" w14:textId="53E6577A" w:rsidR="005A01A5" w:rsidRDefault="00A759FA" w:rsidP="00427F1F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F6FF0" w14:textId="461E3F71" w:rsidR="005A01A5" w:rsidRDefault="005A01A5" w:rsidP="000D40D6">
            <w:pPr>
              <w:pStyle w:val="TableBlock"/>
              <w:rPr>
                <w:sz w:val="26"/>
                <w:rtl/>
              </w:rPr>
            </w:pPr>
            <w:r w:rsidRPr="00A2091C">
              <w:rPr>
                <w:sz w:val="26"/>
                <w:rtl/>
              </w:rPr>
              <w:t xml:space="preserve">מי שהגיש בקשה לקבלת אישור מאת השר לפיתוח הנגב והגליל </w:t>
            </w:r>
            <w:r w:rsidR="000D40D6">
              <w:rPr>
                <w:rFonts w:hint="cs"/>
                <w:sz w:val="26"/>
                <w:rtl/>
              </w:rPr>
              <w:t>בהתאם להוראות</w:t>
            </w:r>
            <w:r w:rsidRPr="00A2091C">
              <w:rPr>
                <w:sz w:val="26"/>
                <w:rtl/>
              </w:rPr>
              <w:t xml:space="preserve"> סעיף 5 לחוק העיקרי </w:t>
            </w:r>
            <w:r w:rsidR="00234E54">
              <w:rPr>
                <w:rFonts w:hint="cs"/>
                <w:sz w:val="26"/>
                <w:rtl/>
              </w:rPr>
              <w:t>כנוסחו ערב</w:t>
            </w:r>
            <w:r w:rsidR="00A2091C" w:rsidRPr="00121A21">
              <w:rPr>
                <w:sz w:val="26"/>
                <w:rtl/>
              </w:rPr>
              <w:t xml:space="preserve"> תחילתו של חוק זה </w:t>
            </w:r>
            <w:r w:rsidRPr="00A2091C">
              <w:rPr>
                <w:sz w:val="26"/>
                <w:rtl/>
              </w:rPr>
              <w:t>(בסעיף זה – בקשה קודמת), רשאי להגיש בקשה חדשה לפי סעיף 5 לחוק העיקרי</w:t>
            </w:r>
            <w:r w:rsidR="00A2091C" w:rsidRPr="00121A21">
              <w:rPr>
                <w:sz w:val="26"/>
                <w:rtl/>
              </w:rPr>
              <w:t>,</w:t>
            </w:r>
            <w:r w:rsidRPr="00A2091C">
              <w:rPr>
                <w:sz w:val="26"/>
                <w:rtl/>
              </w:rPr>
              <w:t xml:space="preserve"> </w:t>
            </w:r>
            <w:r w:rsidR="00A2091C" w:rsidRPr="00121A21">
              <w:rPr>
                <w:rFonts w:hint="eastAsia"/>
                <w:sz w:val="26"/>
                <w:rtl/>
              </w:rPr>
              <w:t>כ</w:t>
            </w:r>
            <w:r w:rsidRPr="00A2091C">
              <w:rPr>
                <w:sz w:val="26"/>
                <w:rtl/>
              </w:rPr>
              <w:t>נוסחו ב</w:t>
            </w:r>
            <w:r w:rsidR="00A2091C" w:rsidRPr="00121A21">
              <w:rPr>
                <w:rFonts w:hint="eastAsia"/>
                <w:sz w:val="26"/>
                <w:rtl/>
              </w:rPr>
              <w:t>סעיף</w:t>
            </w:r>
            <w:r w:rsidR="00A2091C" w:rsidRPr="00121A21">
              <w:rPr>
                <w:sz w:val="26"/>
                <w:rtl/>
              </w:rPr>
              <w:t xml:space="preserve"> 1 </w:t>
            </w:r>
            <w:r w:rsidR="00A2091C" w:rsidRPr="00121A21">
              <w:rPr>
                <w:rFonts w:hint="eastAsia"/>
                <w:sz w:val="26"/>
                <w:rtl/>
              </w:rPr>
              <w:t>ל</w:t>
            </w:r>
            <w:r w:rsidRPr="00A2091C">
              <w:rPr>
                <w:sz w:val="26"/>
                <w:rtl/>
              </w:rPr>
              <w:t>חוק זה</w:t>
            </w:r>
            <w:r w:rsidR="00A2091C" w:rsidRPr="00121A21">
              <w:rPr>
                <w:sz w:val="26"/>
                <w:rtl/>
              </w:rPr>
              <w:t xml:space="preserve"> (בסעיף זה – בקשה חדשה)</w:t>
            </w:r>
            <w:r w:rsidRPr="00A2091C">
              <w:rPr>
                <w:sz w:val="26"/>
                <w:rtl/>
              </w:rPr>
              <w:t xml:space="preserve">, או לבקש לראות </w:t>
            </w:r>
            <w:r w:rsidR="00A2091C" w:rsidRPr="00121A21">
              <w:rPr>
                <w:rFonts w:hint="eastAsia"/>
                <w:sz w:val="26"/>
                <w:rtl/>
              </w:rPr>
              <w:t>בבקשה</w:t>
            </w:r>
            <w:r w:rsidRPr="00A2091C">
              <w:rPr>
                <w:sz w:val="26"/>
                <w:rtl/>
              </w:rPr>
              <w:t xml:space="preserve"> הקודמת כבקשה חדשה; בקשה לפי סעיף זה תוגש </w:t>
            </w:r>
            <w:r w:rsidR="00A2091C" w:rsidRPr="00121A21">
              <w:rPr>
                <w:rFonts w:hint="eastAsia"/>
                <w:sz w:val="26"/>
                <w:rtl/>
              </w:rPr>
              <w:t>ב</w:t>
            </w:r>
            <w:r w:rsidRPr="00A2091C">
              <w:rPr>
                <w:sz w:val="26"/>
                <w:rtl/>
              </w:rPr>
              <w:t>תוך שישה חודשים מיום תחילתו של חוק זה, ו</w:t>
            </w:r>
            <w:r w:rsidR="00234E54">
              <w:rPr>
                <w:rFonts w:hint="cs"/>
                <w:sz w:val="26"/>
                <w:rtl/>
              </w:rPr>
              <w:t xml:space="preserve">יחולו עליה </w:t>
            </w:r>
            <w:r w:rsidRPr="00A2091C">
              <w:rPr>
                <w:sz w:val="26"/>
                <w:rtl/>
              </w:rPr>
              <w:t>הוראות סעיף 1(</w:t>
            </w:r>
            <w:r w:rsidR="00A2091C" w:rsidRPr="00121A21">
              <w:rPr>
                <w:sz w:val="26"/>
                <w:rtl/>
              </w:rPr>
              <w:t>3</w:t>
            </w:r>
            <w:r w:rsidRPr="00A2091C">
              <w:rPr>
                <w:sz w:val="26"/>
                <w:rtl/>
              </w:rPr>
              <w:t>) לחוק זה.</w:t>
            </w:r>
          </w:p>
        </w:tc>
      </w:tr>
    </w:tbl>
    <w:p w14:paraId="6C747E39" w14:textId="77777777" w:rsidR="005A01A5" w:rsidRPr="00FC3550" w:rsidRDefault="005A01A5" w:rsidP="00FC3550">
      <w:pPr>
        <w:pStyle w:val="HeadDivreiHesber"/>
        <w:rPr>
          <w:rtl/>
        </w:rPr>
      </w:pPr>
      <w:r w:rsidRPr="00FC3550">
        <w:rPr>
          <w:rtl/>
        </w:rPr>
        <w:t>דברי הסבר</w:t>
      </w:r>
    </w:p>
    <w:p w14:paraId="195B9B9F" w14:textId="7372C88E" w:rsidR="005A01A5" w:rsidRPr="00121A21" w:rsidRDefault="005A01A5" w:rsidP="00121A21">
      <w:pPr>
        <w:pStyle w:val="Hesber"/>
        <w:rPr>
          <w:rtl/>
        </w:rPr>
      </w:pPr>
      <w:r w:rsidRPr="00121A21">
        <w:rPr>
          <w:rtl/>
        </w:rPr>
        <w:t>ביום</w:t>
      </w:r>
      <w:r w:rsidR="00B779BA">
        <w:rPr>
          <w:rFonts w:hint="cs"/>
          <w:rtl/>
        </w:rPr>
        <w:t xml:space="preserve"> א' באב התש"ע</w:t>
      </w:r>
      <w:r w:rsidRPr="00121A21">
        <w:rPr>
          <w:rtl/>
        </w:rPr>
        <w:t xml:space="preserve"> </w:t>
      </w:r>
      <w:r w:rsidR="00B779BA">
        <w:rPr>
          <w:rFonts w:hint="cs"/>
          <w:rtl/>
        </w:rPr>
        <w:t>(</w:t>
      </w:r>
      <w:r w:rsidRPr="00121A21">
        <w:rPr>
          <w:rtl/>
        </w:rPr>
        <w:t>12 ביולי 2010</w:t>
      </w:r>
      <w:r w:rsidR="00B779BA">
        <w:rPr>
          <w:rFonts w:hint="cs"/>
          <w:rtl/>
        </w:rPr>
        <w:t>)</w:t>
      </w:r>
      <w:r w:rsidRPr="00121A21">
        <w:rPr>
          <w:rtl/>
        </w:rPr>
        <w:t>, קיבלה הכנסת את חוק הרשות לפיתוח הנגב (תיקון מס' 4)</w:t>
      </w:r>
      <w:r w:rsidR="00B779BA">
        <w:rPr>
          <w:rFonts w:hint="cs"/>
          <w:rtl/>
        </w:rPr>
        <w:t>, התש"ע</w:t>
      </w:r>
      <w:r w:rsidR="00B779BA">
        <w:rPr>
          <w:rFonts w:hint="eastAsia"/>
          <w:rtl/>
        </w:rPr>
        <w:t>–</w:t>
      </w:r>
      <w:r w:rsidR="00B779BA">
        <w:rPr>
          <w:rFonts w:hint="cs"/>
          <w:rtl/>
        </w:rPr>
        <w:t>2010</w:t>
      </w:r>
      <w:r w:rsidR="00136361">
        <w:rPr>
          <w:rFonts w:hint="cs"/>
          <w:rtl/>
        </w:rPr>
        <w:t xml:space="preserve"> (להלן </w:t>
      </w:r>
      <w:r w:rsidR="00136361">
        <w:rPr>
          <w:rtl/>
        </w:rPr>
        <w:t>–</w:t>
      </w:r>
      <w:r w:rsidR="00136361">
        <w:rPr>
          <w:rFonts w:hint="cs"/>
          <w:rtl/>
        </w:rPr>
        <w:t xml:space="preserve"> </w:t>
      </w:r>
      <w:r w:rsidR="006A38A8">
        <w:rPr>
          <w:rFonts w:hint="cs"/>
          <w:rtl/>
        </w:rPr>
        <w:t>תיקון מס</w:t>
      </w:r>
      <w:r w:rsidR="00B779BA">
        <w:rPr>
          <w:rFonts w:hint="cs"/>
          <w:rtl/>
        </w:rPr>
        <w:t>'</w:t>
      </w:r>
      <w:r w:rsidR="006A38A8">
        <w:rPr>
          <w:rFonts w:hint="cs"/>
          <w:rtl/>
        </w:rPr>
        <w:t xml:space="preserve"> 4</w:t>
      </w:r>
      <w:r w:rsidR="00136361">
        <w:rPr>
          <w:rFonts w:hint="cs"/>
          <w:rtl/>
        </w:rPr>
        <w:t>)</w:t>
      </w:r>
      <w:r w:rsidRPr="00121A21">
        <w:rPr>
          <w:rtl/>
        </w:rPr>
        <w:t xml:space="preserve"> שנועד, בין היתר, לקבוע הוראות מעבר בנוגע למיזמים חקלאיים-תיירותיים משולבים בנגב. מכוח התיקון האמור, הוקמה ועדה בין-משרדית שבחנה בקשות שהוגשו לה בנוגע למיזמים משולבים קיימים כאמור.</w:t>
      </w:r>
    </w:p>
    <w:p w14:paraId="16474B3A" w14:textId="693EBFA5" w:rsidR="005A01A5" w:rsidRPr="00121A21" w:rsidRDefault="005A01A5" w:rsidP="00FC3550">
      <w:pPr>
        <w:pStyle w:val="Hesber"/>
        <w:rPr>
          <w:rtl/>
        </w:rPr>
      </w:pPr>
      <w:r w:rsidRPr="00121A21">
        <w:rPr>
          <w:rtl/>
        </w:rPr>
        <w:t xml:space="preserve">במהלך דיוני הוועדה </w:t>
      </w:r>
      <w:r w:rsidR="00B779BA">
        <w:rPr>
          <w:rFonts w:hint="cs"/>
          <w:rtl/>
        </w:rPr>
        <w:t>הבין-משרדית</w:t>
      </w:r>
      <w:r w:rsidR="00121A21">
        <w:rPr>
          <w:rFonts w:hint="cs"/>
          <w:rtl/>
        </w:rPr>
        <w:t xml:space="preserve"> </w:t>
      </w:r>
      <w:r w:rsidRPr="00121A21">
        <w:rPr>
          <w:rtl/>
        </w:rPr>
        <w:t>התעוררו ספקות בנוגע לפרשנות המונח "היתכנות תכנונית"</w:t>
      </w:r>
      <w:r w:rsidR="00B779BA">
        <w:rPr>
          <w:rFonts w:hint="cs"/>
          <w:rtl/>
        </w:rPr>
        <w:t xml:space="preserve"> שעל הוועדה לבחון לפי החוק כאחד הפרמטרים לאישור מיזם קיים</w:t>
      </w:r>
      <w:r w:rsidRPr="00121A21">
        <w:rPr>
          <w:rtl/>
        </w:rPr>
        <w:t>, דבר שהביא לעיכוב ממושך בעבודת הוועדה ולכך שעד עתה לא נתקבלו בה החלטות ביחס לחלק ניכר מהמיזמים שלגביהם הוגשו בקשות לפי תיקון</w:t>
      </w:r>
      <w:r w:rsidR="00B779BA">
        <w:rPr>
          <w:rFonts w:hint="cs"/>
          <w:rtl/>
        </w:rPr>
        <w:t xml:space="preserve"> מס'</w:t>
      </w:r>
      <w:r w:rsidR="006A38A8">
        <w:rPr>
          <w:rFonts w:hint="cs"/>
          <w:rtl/>
        </w:rPr>
        <w:t xml:space="preserve"> 4</w:t>
      </w:r>
      <w:r w:rsidRPr="00121A21">
        <w:rPr>
          <w:rtl/>
        </w:rPr>
        <w:t xml:space="preserve">. הדבר יצר </w:t>
      </w:r>
      <w:r w:rsidR="00FC3550">
        <w:rPr>
          <w:rFonts w:hint="cs"/>
          <w:rtl/>
        </w:rPr>
        <w:t>אנומליה</w:t>
      </w:r>
      <w:r w:rsidRPr="00121A21">
        <w:rPr>
          <w:rtl/>
        </w:rPr>
        <w:t xml:space="preserve">, </w:t>
      </w:r>
      <w:r w:rsidR="00FC3550">
        <w:rPr>
          <w:rFonts w:hint="cs"/>
          <w:rtl/>
        </w:rPr>
        <w:t>שכן</w:t>
      </w:r>
      <w:r w:rsidRPr="00121A21">
        <w:rPr>
          <w:rtl/>
        </w:rPr>
        <w:t xml:space="preserve"> מצד אחד רבים מבעלי המיזמים אינם יכולים לקבל אישור מאת הוועדה הבין</w:t>
      </w:r>
      <w:r w:rsidR="00B779BA">
        <w:rPr>
          <w:rFonts w:hint="cs"/>
          <w:rtl/>
        </w:rPr>
        <w:t>-</w:t>
      </w:r>
      <w:r w:rsidRPr="00121A21">
        <w:rPr>
          <w:rtl/>
        </w:rPr>
        <w:t>משרדית עקב אי בהירות לכאורה ביחס למידת ההיתכנות התכנונית</w:t>
      </w:r>
      <w:r w:rsidR="00B779BA">
        <w:rPr>
          <w:rFonts w:hint="cs"/>
          <w:rtl/>
        </w:rPr>
        <w:t>,</w:t>
      </w:r>
      <w:r w:rsidR="00B779BA" w:rsidRPr="00121A21">
        <w:rPr>
          <w:rtl/>
        </w:rPr>
        <w:t xml:space="preserve"> </w:t>
      </w:r>
      <w:r w:rsidRPr="00121A21">
        <w:rPr>
          <w:rtl/>
        </w:rPr>
        <w:t xml:space="preserve">ומצד שני – בהעדר </w:t>
      </w:r>
      <w:r w:rsidR="000D40D6">
        <w:rPr>
          <w:rFonts w:hint="cs"/>
          <w:rtl/>
        </w:rPr>
        <w:t>המלצת</w:t>
      </w:r>
      <w:r w:rsidRPr="00121A21">
        <w:rPr>
          <w:rtl/>
        </w:rPr>
        <w:t xml:space="preserve"> הוועדה הבין-משרדית, מתקשים בעלי המיזמים לפעול להסדרה תכנונית של מיזמיהם בהתאם </w:t>
      </w:r>
      <w:r w:rsidRPr="00121A21">
        <w:rPr>
          <w:rtl/>
        </w:rPr>
        <w:lastRenderedPageBreak/>
        <w:t>לדיני התכנון והבניה.</w:t>
      </w:r>
    </w:p>
    <w:p w14:paraId="35937276" w14:textId="76093A88" w:rsidR="005A01A5" w:rsidRPr="00121A21" w:rsidRDefault="00B779BA" w:rsidP="000D40D6">
      <w:pPr>
        <w:pStyle w:val="Hesber"/>
        <w:rPr>
          <w:rtl/>
        </w:rPr>
      </w:pPr>
      <w:r>
        <w:rPr>
          <w:rFonts w:hint="cs"/>
          <w:rtl/>
        </w:rPr>
        <w:t>לפיכך</w:t>
      </w:r>
      <w:r w:rsidR="005A01A5" w:rsidRPr="00121A21">
        <w:rPr>
          <w:rtl/>
        </w:rPr>
        <w:t xml:space="preserve">, מוצע להפריד בין ההיתכנות התכנונית לבין אישור הוועדה הבין-משרדית, ולאפשר לבעלי המיזמים לקבל בשלב ראשון אישור הוועדה הבין-משרדית בהתאם לתנאי הסף הקבועים </w:t>
      </w:r>
      <w:r w:rsidR="000D40D6">
        <w:rPr>
          <w:rFonts w:hint="cs"/>
          <w:rtl/>
        </w:rPr>
        <w:t>בתיקון מס' 4</w:t>
      </w:r>
      <w:r w:rsidR="005A01A5" w:rsidRPr="00121A21">
        <w:rPr>
          <w:rtl/>
        </w:rPr>
        <w:t xml:space="preserve"> (ניהול מיזם בנגב,</w:t>
      </w:r>
      <w:r w:rsidR="003E211C">
        <w:rPr>
          <w:rFonts w:hint="cs"/>
          <w:rtl/>
        </w:rPr>
        <w:t xml:space="preserve"> החזקה במקרקעין שלוש שנים לפחות לפני יום התחילה, לצורך ניהול מיזם חקלאי או מיזם חקלאי-תיירותי משולב,</w:t>
      </w:r>
      <w:r w:rsidR="005A01A5" w:rsidRPr="00121A21">
        <w:rPr>
          <w:rtl/>
        </w:rPr>
        <w:t xml:space="preserve"> תמיכה וסיוע של רשות מרשויות המדינה</w:t>
      </w:r>
      <w:r w:rsidR="003E211C">
        <w:rPr>
          <w:rFonts w:hint="cs"/>
          <w:rtl/>
        </w:rPr>
        <w:t xml:space="preserve"> ובכללם</w:t>
      </w:r>
      <w:r w:rsidR="005A01A5" w:rsidRPr="00121A21">
        <w:rPr>
          <w:rtl/>
        </w:rPr>
        <w:t xml:space="preserve"> רשות מקרקעי ישראל), ולאחר מכן להמשיך בקידום ההסדרה התכנונית. </w:t>
      </w:r>
      <w:r w:rsidR="000D40D6">
        <w:rPr>
          <w:rFonts w:hint="cs"/>
          <w:rtl/>
        </w:rPr>
        <w:t>מוצע להבהיר כי</w:t>
      </w:r>
      <w:r w:rsidR="005A01A5" w:rsidRPr="00121A21">
        <w:rPr>
          <w:rtl/>
        </w:rPr>
        <w:t xml:space="preserve"> אישור הוועדה הבין-משרדית לא יגרע מהחובה להשלים הסדרה תכנונית במוסדות התכנון.</w:t>
      </w:r>
    </w:p>
    <w:p w14:paraId="76442819" w14:textId="7A5C21DA" w:rsidR="005A01A5" w:rsidRPr="00121A21" w:rsidRDefault="005A01A5" w:rsidP="00FC3550">
      <w:pPr>
        <w:pStyle w:val="Hesber"/>
        <w:rPr>
          <w:rtl/>
        </w:rPr>
      </w:pPr>
      <w:r w:rsidRPr="00121A21">
        <w:rPr>
          <w:rtl/>
        </w:rPr>
        <w:t>הוראה דומה נכללה בהצעות החוק המקוריות (שהביאו בסופו של דבר ל</w:t>
      </w:r>
      <w:r w:rsidR="006A38A8">
        <w:rPr>
          <w:rFonts w:hint="cs"/>
          <w:rtl/>
        </w:rPr>
        <w:t>חקיקת תיקון מספר 4 ל</w:t>
      </w:r>
      <w:r w:rsidRPr="00121A21">
        <w:rPr>
          <w:rtl/>
        </w:rPr>
        <w:t xml:space="preserve">חוק), אשר הוגשו </w:t>
      </w:r>
      <w:r w:rsidR="003E211C">
        <w:rPr>
          <w:rFonts w:hint="cs"/>
          <w:rtl/>
        </w:rPr>
        <w:t>על ידי</w:t>
      </w:r>
      <w:r w:rsidRPr="00121A21">
        <w:rPr>
          <w:rtl/>
        </w:rPr>
        <w:t xml:space="preserve"> </w:t>
      </w:r>
      <w:r w:rsidR="003E211C">
        <w:rPr>
          <w:rFonts w:hint="cs"/>
          <w:rtl/>
        </w:rPr>
        <w:t>חבר הכנסת</w:t>
      </w:r>
      <w:r w:rsidRPr="00121A21">
        <w:rPr>
          <w:rtl/>
        </w:rPr>
        <w:t xml:space="preserve"> דאז ישראל חסון</w:t>
      </w:r>
      <w:r w:rsidR="003E211C">
        <w:rPr>
          <w:rFonts w:hint="cs"/>
          <w:rtl/>
        </w:rPr>
        <w:t xml:space="preserve"> וקבוצת חברי הכנסת</w:t>
      </w:r>
      <w:r w:rsidRPr="00121A21">
        <w:rPr>
          <w:rtl/>
        </w:rPr>
        <w:t xml:space="preserve"> </w:t>
      </w:r>
      <w:r w:rsidR="003E211C">
        <w:rPr>
          <w:rFonts w:hint="cs"/>
          <w:rtl/>
        </w:rPr>
        <w:t>ו</w:t>
      </w:r>
      <w:r w:rsidR="003A7360">
        <w:rPr>
          <w:rFonts w:hint="cs"/>
          <w:rtl/>
        </w:rPr>
        <w:t>על ידי</w:t>
      </w:r>
      <w:r w:rsidR="003E211C">
        <w:rPr>
          <w:rFonts w:hint="cs"/>
          <w:rtl/>
        </w:rPr>
        <w:t xml:space="preserve"> חבר הכנסת</w:t>
      </w:r>
      <w:r w:rsidRPr="00121A21">
        <w:rPr>
          <w:rtl/>
        </w:rPr>
        <w:t xml:space="preserve"> רוברט אילטוב בכנסת ה</w:t>
      </w:r>
      <w:r w:rsidR="00FC3550">
        <w:rPr>
          <w:rFonts w:hint="cs"/>
          <w:rtl/>
        </w:rPr>
        <w:t>-</w:t>
      </w:r>
      <w:r w:rsidRPr="00121A21">
        <w:rPr>
          <w:rtl/>
        </w:rPr>
        <w:t xml:space="preserve">18 (פ </w:t>
      </w:r>
      <w:r w:rsidR="003E211C" w:rsidRPr="00121A21">
        <w:rPr>
          <w:rtl/>
        </w:rPr>
        <w:t>71</w:t>
      </w:r>
      <w:r w:rsidR="003E211C">
        <w:rPr>
          <w:rFonts w:hint="cs"/>
          <w:rtl/>
        </w:rPr>
        <w:t>6</w:t>
      </w:r>
      <w:r w:rsidRPr="00121A21">
        <w:rPr>
          <w:rtl/>
        </w:rPr>
        <w:t xml:space="preserve">/18 ו-פ/1342/18), </w:t>
      </w:r>
      <w:r w:rsidR="006A38A8">
        <w:rPr>
          <w:rFonts w:hint="cs"/>
          <w:rtl/>
        </w:rPr>
        <w:t>וזכו</w:t>
      </w:r>
      <w:r w:rsidRPr="00121A21">
        <w:rPr>
          <w:rtl/>
        </w:rPr>
        <w:t xml:space="preserve"> לתמיכת הממשלה דאז. במהלך דיוני ועדת הכלכלה בכנסת ה</w:t>
      </w:r>
      <w:r w:rsidR="00FC3550">
        <w:rPr>
          <w:rFonts w:hint="cs"/>
          <w:rtl/>
        </w:rPr>
        <w:t>-</w:t>
      </w:r>
      <w:r w:rsidRPr="00121A21">
        <w:rPr>
          <w:rtl/>
        </w:rPr>
        <w:t>18</w:t>
      </w:r>
      <w:r w:rsidR="00B779BA">
        <w:rPr>
          <w:rFonts w:hint="cs"/>
          <w:rtl/>
        </w:rPr>
        <w:t>,</w:t>
      </w:r>
      <w:r w:rsidRPr="00121A21">
        <w:rPr>
          <w:rtl/>
        </w:rPr>
        <w:t xml:space="preserve"> </w:t>
      </w:r>
      <w:r w:rsidR="00B779BA">
        <w:rPr>
          <w:rFonts w:hint="cs"/>
          <w:rtl/>
        </w:rPr>
        <w:t>הוחלט על</w:t>
      </w:r>
      <w:r w:rsidRPr="00121A21">
        <w:rPr>
          <w:rtl/>
        </w:rPr>
        <w:t xml:space="preserve"> תיקון </w:t>
      </w:r>
      <w:r w:rsidR="00B779BA">
        <w:rPr>
          <w:rFonts w:hint="cs"/>
          <w:rtl/>
        </w:rPr>
        <w:t>ב</w:t>
      </w:r>
      <w:r w:rsidR="00B779BA" w:rsidRPr="00121A21">
        <w:rPr>
          <w:rtl/>
        </w:rPr>
        <w:t xml:space="preserve">נוסח </w:t>
      </w:r>
      <w:r w:rsidRPr="00121A21">
        <w:rPr>
          <w:rtl/>
        </w:rPr>
        <w:t>הצעת החוק</w:t>
      </w:r>
      <w:r w:rsidR="00B779BA">
        <w:rPr>
          <w:rFonts w:hint="cs"/>
          <w:rtl/>
        </w:rPr>
        <w:t>,</w:t>
      </w:r>
      <w:r w:rsidRPr="00121A21">
        <w:rPr>
          <w:rtl/>
        </w:rPr>
        <w:t xml:space="preserve"> </w:t>
      </w:r>
      <w:r w:rsidR="00B779BA">
        <w:rPr>
          <w:rFonts w:hint="cs"/>
          <w:rtl/>
        </w:rPr>
        <w:t>ו</w:t>
      </w:r>
      <w:r w:rsidRPr="00121A21">
        <w:rPr>
          <w:rtl/>
        </w:rPr>
        <w:t>הוספה</w:t>
      </w:r>
      <w:r w:rsidR="00B779BA">
        <w:rPr>
          <w:rFonts w:hint="cs"/>
          <w:rtl/>
        </w:rPr>
        <w:t xml:space="preserve"> בו</w:t>
      </w:r>
      <w:r w:rsidRPr="00121A21">
        <w:rPr>
          <w:rtl/>
        </w:rPr>
        <w:t xml:space="preserve"> הוראה לפיה על הוועדה הבין-משרדית לשקול, בין היתר, את מידת ההיתכנות התכנונית. הניסיון שנצבר עד כה מלמד כי הקושי בפרשנות המונח "היתכנות תכנונית" פגע</w:t>
      </w:r>
      <w:r w:rsidR="00B779BA">
        <w:rPr>
          <w:rFonts w:hint="cs"/>
          <w:rtl/>
        </w:rPr>
        <w:t>,</w:t>
      </w:r>
      <w:r w:rsidRPr="00121A21">
        <w:rPr>
          <w:rtl/>
        </w:rPr>
        <w:t xml:space="preserve"> הלכה למעשה</w:t>
      </w:r>
      <w:r w:rsidR="00B779BA">
        <w:rPr>
          <w:rFonts w:hint="cs"/>
          <w:rtl/>
        </w:rPr>
        <w:t>,</w:t>
      </w:r>
      <w:r w:rsidRPr="00121A21">
        <w:rPr>
          <w:rtl/>
        </w:rPr>
        <w:t xml:space="preserve"> ביישומו של </w:t>
      </w:r>
      <w:r w:rsidR="006A38A8">
        <w:rPr>
          <w:rFonts w:hint="cs"/>
          <w:rtl/>
        </w:rPr>
        <w:t>תיקון מס' 4 ל</w:t>
      </w:r>
      <w:r w:rsidRPr="00121A21">
        <w:rPr>
          <w:rtl/>
        </w:rPr>
        <w:t xml:space="preserve">חוק והביא לכדי "מבוי סתום" שהפך את </w:t>
      </w:r>
      <w:r w:rsidR="0087707D">
        <w:rPr>
          <w:rFonts w:hint="cs"/>
          <w:rtl/>
        </w:rPr>
        <w:t>ה</w:t>
      </w:r>
      <w:r w:rsidR="003A7360">
        <w:rPr>
          <w:rFonts w:hint="cs"/>
          <w:rtl/>
        </w:rPr>
        <w:t>תיקון</w:t>
      </w:r>
      <w:r w:rsidRPr="00121A21">
        <w:rPr>
          <w:rtl/>
        </w:rPr>
        <w:t xml:space="preserve">, במידה רבה, לאות מתה. לפיכך, מוצע לתקן את </w:t>
      </w:r>
      <w:r w:rsidR="006A38A8">
        <w:rPr>
          <w:rFonts w:hint="cs"/>
          <w:rtl/>
        </w:rPr>
        <w:t>תיקון מס' 4 ל</w:t>
      </w:r>
      <w:r w:rsidRPr="00121A21">
        <w:rPr>
          <w:rtl/>
        </w:rPr>
        <w:t>חוק כאמור, ולהפריד בין ההליכים בוועדה הבין-משרדית לבין ההליכים התכנוניים</w:t>
      </w:r>
      <w:r w:rsidR="0087707D">
        <w:rPr>
          <w:rFonts w:hint="cs"/>
          <w:rtl/>
        </w:rPr>
        <w:t>,</w:t>
      </w:r>
      <w:r w:rsidRPr="00121A21">
        <w:rPr>
          <w:rtl/>
        </w:rPr>
        <w:t xml:space="preserve"> תוך הדגשה כי אין בכך כדי לייתר את החובה לעמוד בשניהם.  </w:t>
      </w:r>
    </w:p>
    <w:p w14:paraId="6EC9AD56" w14:textId="26B790D1" w:rsidR="005A01A5" w:rsidRPr="00121A21" w:rsidRDefault="005A01A5" w:rsidP="00121A21">
      <w:pPr>
        <w:pStyle w:val="Hesber"/>
        <w:rPr>
          <w:rtl/>
        </w:rPr>
      </w:pPr>
      <w:r w:rsidRPr="00121A21">
        <w:rPr>
          <w:rtl/>
        </w:rPr>
        <w:t xml:space="preserve">בנוסף, נוכח התמשכות ההליכים בוועדה הבין-משרדית עד כה, ומורכבות ההליכים התכנוניים, מוצע להאריך את התקופה להשלמת תכנונו של כל מיזם עד חלוף </w:t>
      </w:r>
      <w:r w:rsidR="00121A21">
        <w:rPr>
          <w:rFonts w:hint="cs"/>
          <w:rtl/>
        </w:rPr>
        <w:t>עשר</w:t>
      </w:r>
      <w:r w:rsidRPr="00121A21">
        <w:rPr>
          <w:rtl/>
        </w:rPr>
        <w:t xml:space="preserve"> שנים מיום אישור המיזם על ידי השר</w:t>
      </w:r>
      <w:r w:rsidR="003A7360">
        <w:rPr>
          <w:rFonts w:hint="cs"/>
          <w:rtl/>
        </w:rPr>
        <w:t xml:space="preserve"> לפיתוח הנגב והגליל</w:t>
      </w:r>
      <w:r w:rsidRPr="00121A21">
        <w:rPr>
          <w:rtl/>
        </w:rPr>
        <w:t>. כמו כן, מוצע לקבוע כי בקשה שהוועדה הבין-משרדית לא תקבל החלטה</w:t>
      </w:r>
      <w:r w:rsidR="0087707D">
        <w:rPr>
          <w:rFonts w:hint="cs"/>
          <w:rtl/>
        </w:rPr>
        <w:t xml:space="preserve"> לגביה</w:t>
      </w:r>
      <w:r w:rsidRPr="00121A21">
        <w:rPr>
          <w:rtl/>
        </w:rPr>
        <w:t xml:space="preserve"> עד תום שבע שנים מיום התחילה, יראו אותה כבקשה שהוועדה הבין-משרדית המליצה לשר לאשרה. </w:t>
      </w:r>
    </w:p>
    <w:p w14:paraId="3E325FA2" w14:textId="7507E28F" w:rsidR="005A01A5" w:rsidRPr="002805F8" w:rsidRDefault="005A01A5" w:rsidP="003A7360">
      <w:pPr>
        <w:pStyle w:val="Hesber"/>
        <w:rPr>
          <w:rtl/>
        </w:rPr>
      </w:pPr>
      <w:r w:rsidRPr="002805F8">
        <w:rPr>
          <w:rtl/>
        </w:rPr>
        <w:t xml:space="preserve">עוד מוצע לקבוע </w:t>
      </w:r>
      <w:r w:rsidR="006A38A8">
        <w:rPr>
          <w:rFonts w:hint="cs"/>
          <w:rtl/>
        </w:rPr>
        <w:t>ניתן יהיה</w:t>
      </w:r>
      <w:r w:rsidRPr="002805F8">
        <w:rPr>
          <w:rtl/>
        </w:rPr>
        <w:t xml:space="preserve"> להגיש לבית המשפט לעניינים מינהליים עתירה מנהלית נגד החלטות </w:t>
      </w:r>
      <w:r w:rsidR="0039763A">
        <w:rPr>
          <w:rFonts w:hint="cs"/>
          <w:rtl/>
        </w:rPr>
        <w:t xml:space="preserve">שהתקבלו </w:t>
      </w:r>
      <w:r w:rsidRPr="002805F8">
        <w:rPr>
          <w:rtl/>
        </w:rPr>
        <w:t xml:space="preserve">לפי </w:t>
      </w:r>
      <w:r w:rsidR="00FC3550">
        <w:rPr>
          <w:rFonts w:hint="cs"/>
          <w:rtl/>
        </w:rPr>
        <w:t>תיקון מס' 4</w:t>
      </w:r>
      <w:r w:rsidRPr="002805F8">
        <w:rPr>
          <w:rtl/>
        </w:rPr>
        <w:t xml:space="preserve">. </w:t>
      </w:r>
      <w:r w:rsidR="003A7360">
        <w:rPr>
          <w:rFonts w:hint="cs"/>
          <w:rtl/>
        </w:rPr>
        <w:t>הוראה</w:t>
      </w:r>
      <w:r w:rsidR="006A38A8">
        <w:rPr>
          <w:rFonts w:hint="cs"/>
          <w:rtl/>
        </w:rPr>
        <w:t xml:space="preserve"> זו נדרשת</w:t>
      </w:r>
      <w:r w:rsidRPr="002805F8">
        <w:rPr>
          <w:rtl/>
        </w:rPr>
        <w:t xml:space="preserve"> נוכח המורכבות העובדתית המיוחדת של בחינת עמידתם של מיזמים קיימים בהוראות המעבר של </w:t>
      </w:r>
      <w:r w:rsidR="006A38A8">
        <w:rPr>
          <w:rFonts w:hint="cs"/>
          <w:rtl/>
        </w:rPr>
        <w:t>תיקון מספר 4 ל</w:t>
      </w:r>
      <w:r w:rsidRPr="002805F8">
        <w:rPr>
          <w:rtl/>
        </w:rPr>
        <w:t>חוק, אשר מטבעה איננה מתאימה לבירור בפני בג"</w:t>
      </w:r>
      <w:r w:rsidR="003A7360">
        <w:rPr>
          <w:rFonts w:hint="cs"/>
          <w:rtl/>
        </w:rPr>
        <w:t>צ</w:t>
      </w:r>
      <w:r w:rsidRPr="002805F8">
        <w:rPr>
          <w:rtl/>
        </w:rPr>
        <w:t>.</w:t>
      </w:r>
    </w:p>
    <w:p w14:paraId="5DAC9628" w14:textId="393EC4C3" w:rsidR="005A01A5" w:rsidRPr="002805F8" w:rsidRDefault="003A7360" w:rsidP="003A7360">
      <w:pPr>
        <w:pStyle w:val="Hesber"/>
        <w:rPr>
          <w:rtl/>
        </w:rPr>
      </w:pPr>
      <w:r>
        <w:rPr>
          <w:rFonts w:hint="cs"/>
          <w:rtl/>
        </w:rPr>
        <w:t>כדי</w:t>
      </w:r>
      <w:r w:rsidR="005A01A5" w:rsidRPr="00583F7D">
        <w:rPr>
          <w:rtl/>
        </w:rPr>
        <w:t xml:space="preserve"> להסיר כל ספק, מוצע להבהיר כי מיזם, שהוקם בהסכמת רשות מקרקעי ישראל או בתיאום עמה, לרבות באמצעות מי </w:t>
      </w:r>
      <w:r w:rsidR="00583F7D" w:rsidRPr="00121A21">
        <w:rPr>
          <w:rFonts w:hint="eastAsia"/>
          <w:rtl/>
        </w:rPr>
        <w:t>מטעמה</w:t>
      </w:r>
      <w:r w:rsidR="00583F7D" w:rsidRPr="00583F7D">
        <w:rPr>
          <w:rtl/>
        </w:rPr>
        <w:t xml:space="preserve"> </w:t>
      </w:r>
      <w:r>
        <w:rPr>
          <w:rFonts w:hint="cs"/>
          <w:rtl/>
        </w:rPr>
        <w:t>דוגמת</w:t>
      </w:r>
      <w:r w:rsidR="005A01A5" w:rsidRPr="00583F7D">
        <w:rPr>
          <w:rtl/>
        </w:rPr>
        <w:t xml:space="preserve"> משרד החקלאות</w:t>
      </w:r>
      <w:r w:rsidR="0087707D">
        <w:rPr>
          <w:rFonts w:hint="cs"/>
          <w:rtl/>
        </w:rPr>
        <w:t xml:space="preserve"> ופיתוח הכפר</w:t>
      </w:r>
      <w:r w:rsidR="005A01A5" w:rsidRPr="00583F7D">
        <w:rPr>
          <w:rtl/>
        </w:rPr>
        <w:t xml:space="preserve"> או החטיבה להתיישבות</w:t>
      </w:r>
      <w:r w:rsidR="00583F7D" w:rsidRPr="00121A21">
        <w:rPr>
          <w:rtl/>
        </w:rPr>
        <w:t>,</w:t>
      </w:r>
      <w:r w:rsidR="005A01A5" w:rsidRPr="00583F7D">
        <w:rPr>
          <w:rtl/>
        </w:rPr>
        <w:t xml:space="preserve"> דהיינו, אין מדובר בפלישה, וקיבל תמיכה וסיוע מרשויות המדינה במשך שלוש שנים לפני יום תחילתו של תיקון </w:t>
      </w:r>
      <w:r w:rsidR="00583F7D" w:rsidRPr="00121A21">
        <w:rPr>
          <w:rFonts w:hint="eastAsia"/>
          <w:rtl/>
        </w:rPr>
        <w:t>מס</w:t>
      </w:r>
      <w:r w:rsidR="0087707D">
        <w:rPr>
          <w:rFonts w:hint="cs"/>
          <w:rtl/>
        </w:rPr>
        <w:t>'</w:t>
      </w:r>
      <w:r w:rsidR="00583F7D" w:rsidRPr="00583F7D">
        <w:rPr>
          <w:rtl/>
        </w:rPr>
        <w:t xml:space="preserve"> </w:t>
      </w:r>
      <w:r w:rsidR="005A01A5" w:rsidRPr="00583F7D">
        <w:rPr>
          <w:rtl/>
        </w:rPr>
        <w:t xml:space="preserve">4, עומד בתנאי הסף הקבועים בתיקון </w:t>
      </w:r>
      <w:r>
        <w:rPr>
          <w:rFonts w:hint="cs"/>
          <w:rtl/>
        </w:rPr>
        <w:t>מס' 4</w:t>
      </w:r>
      <w:r w:rsidR="005A01A5" w:rsidRPr="00583F7D">
        <w:rPr>
          <w:rtl/>
        </w:rPr>
        <w:t xml:space="preserve">. לפי המוצע, </w:t>
      </w:r>
      <w:r w:rsidR="00583F7D" w:rsidRPr="00121A21">
        <w:rPr>
          <w:rFonts w:hint="eastAsia"/>
          <w:rtl/>
        </w:rPr>
        <w:t>גם</w:t>
      </w:r>
      <w:r w:rsidR="00583F7D" w:rsidRPr="00121A21">
        <w:rPr>
          <w:rtl/>
        </w:rPr>
        <w:t xml:space="preserve"> </w:t>
      </w:r>
      <w:r w:rsidR="005A01A5" w:rsidRPr="00583F7D">
        <w:rPr>
          <w:rtl/>
        </w:rPr>
        <w:t xml:space="preserve">מי שהחזיק במקרקעין במשך שלוש שנים לפחות לפני יום תחילתו של </w:t>
      </w:r>
      <w:r w:rsidR="003C0AA9" w:rsidRPr="00583F7D">
        <w:rPr>
          <w:rFonts w:hint="eastAsia"/>
          <w:rtl/>
        </w:rPr>
        <w:t>תיקון</w:t>
      </w:r>
      <w:r w:rsidR="003C0AA9" w:rsidRPr="00583F7D">
        <w:rPr>
          <w:rtl/>
        </w:rPr>
        <w:t xml:space="preserve"> מס</w:t>
      </w:r>
      <w:r w:rsidR="0087707D">
        <w:rPr>
          <w:rFonts w:hint="cs"/>
          <w:rtl/>
        </w:rPr>
        <w:t>'</w:t>
      </w:r>
      <w:r w:rsidR="003C0AA9" w:rsidRPr="00583F7D">
        <w:rPr>
          <w:rtl/>
        </w:rPr>
        <w:t xml:space="preserve"> 4</w:t>
      </w:r>
      <w:r w:rsidR="005A01A5" w:rsidRPr="00583F7D">
        <w:rPr>
          <w:rtl/>
        </w:rPr>
        <w:t xml:space="preserve">, וניהל את המיזם בהסכמת רשות מקרקעי ישראל או בתיאום עמה או עם גוף אחר מטעמה, יוכל </w:t>
      </w:r>
      <w:r w:rsidR="00583F7D" w:rsidRPr="00121A21">
        <w:rPr>
          <w:rFonts w:hint="eastAsia"/>
          <w:rtl/>
        </w:rPr>
        <w:t>להגיש</w:t>
      </w:r>
      <w:r w:rsidR="00583F7D" w:rsidRPr="00121A21">
        <w:rPr>
          <w:rtl/>
        </w:rPr>
        <w:t xml:space="preserve"> בקשה </w:t>
      </w:r>
      <w:r w:rsidR="005A01A5" w:rsidRPr="00583F7D">
        <w:rPr>
          <w:rtl/>
        </w:rPr>
        <w:t>לקבל</w:t>
      </w:r>
      <w:r w:rsidR="00583F7D" w:rsidRPr="00121A21">
        <w:rPr>
          <w:rFonts w:hint="eastAsia"/>
          <w:rtl/>
        </w:rPr>
        <w:t>ת</w:t>
      </w:r>
      <w:r w:rsidR="005A01A5" w:rsidRPr="00583F7D">
        <w:rPr>
          <w:rtl/>
        </w:rPr>
        <w:t xml:space="preserve"> אישור </w:t>
      </w:r>
      <w:r>
        <w:rPr>
          <w:rFonts w:hint="cs"/>
          <w:rtl/>
        </w:rPr>
        <w:t xml:space="preserve">השר </w:t>
      </w:r>
      <w:r w:rsidR="005A01A5" w:rsidRPr="00583F7D">
        <w:rPr>
          <w:rtl/>
        </w:rPr>
        <w:t xml:space="preserve">לפי </w:t>
      </w:r>
      <w:r w:rsidR="00583F7D" w:rsidRPr="00121A21">
        <w:rPr>
          <w:rFonts w:hint="eastAsia"/>
          <w:rtl/>
        </w:rPr>
        <w:t>התיקון</w:t>
      </w:r>
      <w:r w:rsidR="00583F7D" w:rsidRPr="00121A21">
        <w:rPr>
          <w:rtl/>
        </w:rPr>
        <w:t xml:space="preserve"> </w:t>
      </w:r>
      <w:r w:rsidR="00583F7D" w:rsidRPr="00121A21">
        <w:rPr>
          <w:rFonts w:hint="eastAsia"/>
          <w:rtl/>
        </w:rPr>
        <w:t>המוצע</w:t>
      </w:r>
      <w:r w:rsidR="005A01A5" w:rsidRPr="00583F7D">
        <w:rPr>
          <w:rtl/>
        </w:rPr>
        <w:t xml:space="preserve">. </w:t>
      </w:r>
    </w:p>
    <w:p w14:paraId="2159C89F" w14:textId="6B854F61" w:rsidR="005A01A5" w:rsidRDefault="0087707D" w:rsidP="000D40D6">
      <w:pPr>
        <w:pStyle w:val="Hesber"/>
        <w:rPr>
          <w:rtl/>
        </w:rPr>
      </w:pPr>
      <w:r>
        <w:rPr>
          <w:rFonts w:hint="cs"/>
          <w:rtl/>
        </w:rPr>
        <w:t>כדי</w:t>
      </w:r>
      <w:r w:rsidR="005A01A5" w:rsidRPr="00726C02">
        <w:rPr>
          <w:rtl/>
        </w:rPr>
        <w:t xml:space="preserve"> לאפשר לבעלי המיזמים, העומדים בתנאים </w:t>
      </w:r>
      <w:r>
        <w:rPr>
          <w:rFonts w:hint="cs"/>
          <w:rtl/>
        </w:rPr>
        <w:t>לפי התיקון המוצע</w:t>
      </w:r>
      <w:r w:rsidR="00583F7D" w:rsidRPr="00121A21">
        <w:rPr>
          <w:rtl/>
        </w:rPr>
        <w:t xml:space="preserve">, </w:t>
      </w:r>
      <w:r w:rsidR="005A01A5" w:rsidRPr="00726C02">
        <w:rPr>
          <w:rtl/>
        </w:rPr>
        <w:t>להגיש בקשות</w:t>
      </w:r>
      <w:r w:rsidR="00726C02" w:rsidRPr="00121A21">
        <w:rPr>
          <w:rtl/>
        </w:rPr>
        <w:t xml:space="preserve"> חדשות</w:t>
      </w:r>
      <w:r w:rsidR="005A01A5" w:rsidRPr="00726C02">
        <w:rPr>
          <w:rtl/>
        </w:rPr>
        <w:t xml:space="preserve"> לשם קבלת אישור כאמור מאת השר לפיתוח הנגב והגליל</w:t>
      </w:r>
      <w:r w:rsidR="00726C02" w:rsidRPr="00121A21">
        <w:rPr>
          <w:rtl/>
        </w:rPr>
        <w:t xml:space="preserve"> בהתאם לתנאים החדשים </w:t>
      </w:r>
      <w:r w:rsidR="00726C02">
        <w:rPr>
          <w:rFonts w:hint="cs"/>
          <w:rtl/>
        </w:rPr>
        <w:t>ה</w:t>
      </w:r>
      <w:r w:rsidR="00726C02" w:rsidRPr="00121A21">
        <w:rPr>
          <w:rFonts w:hint="eastAsia"/>
          <w:rtl/>
        </w:rPr>
        <w:t>קבועים</w:t>
      </w:r>
      <w:r w:rsidR="00726C02" w:rsidRPr="00121A21">
        <w:rPr>
          <w:rtl/>
        </w:rPr>
        <w:t xml:space="preserve"> </w:t>
      </w:r>
      <w:r w:rsidR="00726C02" w:rsidRPr="00121A21">
        <w:rPr>
          <w:rFonts w:hint="eastAsia"/>
          <w:rtl/>
        </w:rPr>
        <w:t>בתיקון</w:t>
      </w:r>
      <w:r w:rsidR="00726C02" w:rsidRPr="00121A21">
        <w:rPr>
          <w:rtl/>
        </w:rPr>
        <w:t xml:space="preserve"> </w:t>
      </w:r>
      <w:r w:rsidR="00726C02" w:rsidRPr="00121A21">
        <w:rPr>
          <w:rFonts w:hint="eastAsia"/>
          <w:rtl/>
        </w:rPr>
        <w:t>זה</w:t>
      </w:r>
      <w:r w:rsidR="005A01A5" w:rsidRPr="00726C02">
        <w:rPr>
          <w:rtl/>
        </w:rPr>
        <w:t xml:space="preserve">, מוצע לקבוע כי ניתן יהיה להגיש בקשות </w:t>
      </w:r>
      <w:r w:rsidR="00726C02" w:rsidRPr="00121A21">
        <w:rPr>
          <w:rFonts w:hint="eastAsia"/>
          <w:rtl/>
        </w:rPr>
        <w:t>כאמור</w:t>
      </w:r>
      <w:r w:rsidR="00726C02" w:rsidRPr="00726C02">
        <w:rPr>
          <w:rtl/>
        </w:rPr>
        <w:t xml:space="preserve"> </w:t>
      </w:r>
      <w:r w:rsidR="005A01A5" w:rsidRPr="00726C02">
        <w:rPr>
          <w:rtl/>
        </w:rPr>
        <w:t>בתוך שישה חודשים מיום כניסתו לתוקף של התיקון המוצע</w:t>
      </w:r>
      <w:r w:rsidR="00583F7D" w:rsidRPr="00121A21">
        <w:rPr>
          <w:rtl/>
        </w:rPr>
        <w:t>,</w:t>
      </w:r>
      <w:r w:rsidR="005A01A5" w:rsidRPr="00726C02">
        <w:rPr>
          <w:rtl/>
        </w:rPr>
        <w:t xml:space="preserve"> ובלבד שהמבקש הגיש בקשה לפי </w:t>
      </w:r>
      <w:r w:rsidR="00726C02" w:rsidRPr="00121A21">
        <w:rPr>
          <w:rFonts w:hint="eastAsia"/>
          <w:rtl/>
        </w:rPr>
        <w:t>תיקון</w:t>
      </w:r>
      <w:r w:rsidR="00726C02" w:rsidRPr="00121A21">
        <w:rPr>
          <w:rtl/>
        </w:rPr>
        <w:t xml:space="preserve"> מס</w:t>
      </w:r>
      <w:r>
        <w:rPr>
          <w:rFonts w:hint="cs"/>
          <w:rtl/>
        </w:rPr>
        <w:t>'</w:t>
      </w:r>
      <w:r w:rsidR="00726C02" w:rsidRPr="00121A21">
        <w:rPr>
          <w:rtl/>
        </w:rPr>
        <w:t xml:space="preserve"> 4, </w:t>
      </w:r>
      <w:r w:rsidR="005A01A5" w:rsidRPr="00726C02">
        <w:rPr>
          <w:rtl/>
        </w:rPr>
        <w:t xml:space="preserve">בנוסחו הקודם לפני תיקונו בחוק זה במועד שנקבע בו. </w:t>
      </w:r>
    </w:p>
    <w:p w14:paraId="0BCA0889" w14:textId="77777777" w:rsidR="00FC3550" w:rsidRPr="0022704F" w:rsidRDefault="00FC3550" w:rsidP="00FC3550">
      <w:pPr>
        <w:spacing w:before="0" w:line="24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---------------------------------</w:t>
      </w:r>
    </w:p>
    <w:p w14:paraId="60B619A7" w14:textId="77777777" w:rsidR="00FC3550" w:rsidRPr="0022704F" w:rsidRDefault="00FC3550" w:rsidP="00FC3550">
      <w:pPr>
        <w:spacing w:before="0" w:line="24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הוגשה ליו"ר הכנסת והסגנים</w:t>
      </w:r>
    </w:p>
    <w:p w14:paraId="45030A1D" w14:textId="77777777" w:rsidR="00FC3550" w:rsidRPr="0022704F" w:rsidRDefault="00FC3550" w:rsidP="00FC3550">
      <w:pPr>
        <w:spacing w:before="0" w:line="24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והונחה על שולחן הכנסת ביום</w:t>
      </w:r>
    </w:p>
    <w:p w14:paraId="6C8A16B6" w14:textId="141EEE90" w:rsidR="00FC3550" w:rsidRPr="002805F8" w:rsidRDefault="00FC3550" w:rsidP="00FC3550">
      <w:pPr>
        <w:spacing w:before="0" w:line="240" w:lineRule="auto"/>
        <w:ind w:left="340" w:firstLine="0"/>
        <w:rPr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י"ג באב התשע"ה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– 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29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.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7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.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15</w:t>
      </w:r>
    </w:p>
    <w:p w14:paraId="34DB4103" w14:textId="72F15C23" w:rsidR="00904591" w:rsidRPr="005A01A5" w:rsidRDefault="00E13C27" w:rsidP="005A01A5">
      <w:pPr>
        <w:pStyle w:val="David"/>
        <w:spacing w:before="0" w:line="360" w:lineRule="auto"/>
        <w:rPr>
          <w:rtl/>
        </w:rPr>
      </w:pPr>
      <w:r w:rsidRPr="00E06736">
        <w:rPr>
          <w:rFonts w:hint="cs"/>
          <w:rtl/>
        </w:rPr>
        <w:tab/>
      </w:r>
      <w:r w:rsidR="00904591">
        <w:t xml:space="preserve">           </w:t>
      </w:r>
    </w:p>
    <w:sectPr w:rsidR="00904591" w:rsidRPr="005A01A5" w:rsidSect="001207F8">
      <w:footerReference w:type="even" r:id="rId12"/>
      <w:footerReference w:type="default" r:id="rId13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FFF29" w14:textId="77777777" w:rsidR="000F0624" w:rsidRDefault="000F0624">
      <w:r>
        <w:separator/>
      </w:r>
    </w:p>
  </w:endnote>
  <w:endnote w:type="continuationSeparator" w:id="0">
    <w:p w14:paraId="1D29D43B" w14:textId="77777777" w:rsidR="000F0624" w:rsidRDefault="000F0624">
      <w:r>
        <w:continuationSeparator/>
      </w:r>
    </w:p>
  </w:endnote>
  <w:endnote w:type="continuationNotice" w:id="1">
    <w:p w14:paraId="192AA330" w14:textId="77777777" w:rsidR="000F0624" w:rsidRDefault="000F062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6F40C3">
      <w:rPr>
        <w:rStyle w:val="ab"/>
        <w:noProof/>
        <w:rtl/>
      </w:rPr>
      <w:t>3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7E0A7" w14:textId="77777777" w:rsidR="000F0624" w:rsidRDefault="000F0624">
      <w:r>
        <w:separator/>
      </w:r>
    </w:p>
  </w:footnote>
  <w:footnote w:type="continuationSeparator" w:id="0">
    <w:p w14:paraId="1D86DAAA" w14:textId="77777777" w:rsidR="000F0624" w:rsidRDefault="000F0624">
      <w:r>
        <w:continuationSeparator/>
      </w:r>
    </w:p>
  </w:footnote>
  <w:footnote w:type="continuationNotice" w:id="1">
    <w:p w14:paraId="0B4C3ABC" w14:textId="77777777" w:rsidR="000F0624" w:rsidRDefault="000F0624"/>
  </w:footnote>
  <w:footnote w:id="2">
    <w:p w14:paraId="19B535ED" w14:textId="77777777" w:rsidR="005A01A5" w:rsidRDefault="005A01A5" w:rsidP="005A01A5">
      <w:pPr>
        <w:pStyle w:val="a4"/>
      </w:pPr>
      <w:r>
        <w:rPr>
          <w:rStyle w:val="a6"/>
        </w:rPr>
        <w:footnoteRef/>
      </w:r>
      <w:r>
        <w:rPr>
          <w:rtl/>
        </w:rPr>
        <w:t xml:space="preserve"> ס"ח התש"ע, עמ' 591.</w:t>
      </w:r>
    </w:p>
  </w:footnote>
  <w:footnote w:id="3">
    <w:p w14:paraId="5A42C44D" w14:textId="77777777" w:rsidR="006C3865" w:rsidRDefault="006C3865" w:rsidP="006C3865">
      <w:pPr>
        <w:pStyle w:val="a4"/>
      </w:pPr>
      <w:r>
        <w:rPr>
          <w:rStyle w:val="a6"/>
        </w:rPr>
        <w:footnoteRef/>
      </w:r>
      <w:r>
        <w:rPr>
          <w:sz w:val="20"/>
          <w:rtl/>
        </w:rPr>
        <w:t xml:space="preserve"> ס"ח התשכ"ה, עמ' 307.</w:t>
      </w:r>
    </w:p>
  </w:footnote>
  <w:footnote w:id="4">
    <w:p w14:paraId="70629B9A" w14:textId="77777777" w:rsidR="00A759FA" w:rsidRDefault="00A759FA" w:rsidP="00A759FA">
      <w:pPr>
        <w:pStyle w:val="a4"/>
      </w:pPr>
      <w:r>
        <w:rPr>
          <w:rStyle w:val="a6"/>
        </w:rPr>
        <w:footnoteRef/>
      </w:r>
      <w:r>
        <w:rPr>
          <w:rtl/>
        </w:rPr>
        <w:t xml:space="preserve"> ס"ח התש"ס, עמ' 190.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2C38"/>
    <w:rsid w:val="00015B27"/>
    <w:rsid w:val="00063A3E"/>
    <w:rsid w:val="00072CAC"/>
    <w:rsid w:val="0007681A"/>
    <w:rsid w:val="000942B0"/>
    <w:rsid w:val="000956B7"/>
    <w:rsid w:val="000A4506"/>
    <w:rsid w:val="000A542E"/>
    <w:rsid w:val="000C3460"/>
    <w:rsid w:val="000D40D6"/>
    <w:rsid w:val="000F0624"/>
    <w:rsid w:val="00102B6B"/>
    <w:rsid w:val="001052D4"/>
    <w:rsid w:val="0010644B"/>
    <w:rsid w:val="00107694"/>
    <w:rsid w:val="001207F8"/>
    <w:rsid w:val="00121924"/>
    <w:rsid w:val="00121A21"/>
    <w:rsid w:val="001279A8"/>
    <w:rsid w:val="00136361"/>
    <w:rsid w:val="0014195F"/>
    <w:rsid w:val="00152609"/>
    <w:rsid w:val="00153E1B"/>
    <w:rsid w:val="001A0623"/>
    <w:rsid w:val="001C23B0"/>
    <w:rsid w:val="001D7AAF"/>
    <w:rsid w:val="001F3AC3"/>
    <w:rsid w:val="00203A7F"/>
    <w:rsid w:val="0021633A"/>
    <w:rsid w:val="002200A1"/>
    <w:rsid w:val="00234E54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805F8"/>
    <w:rsid w:val="00292712"/>
    <w:rsid w:val="002A487D"/>
    <w:rsid w:val="002B7F56"/>
    <w:rsid w:val="002C2E29"/>
    <w:rsid w:val="002C3041"/>
    <w:rsid w:val="002D1C98"/>
    <w:rsid w:val="002D1EE3"/>
    <w:rsid w:val="002F1D80"/>
    <w:rsid w:val="00314317"/>
    <w:rsid w:val="003232A2"/>
    <w:rsid w:val="00325C14"/>
    <w:rsid w:val="0036422C"/>
    <w:rsid w:val="003710F6"/>
    <w:rsid w:val="00386E88"/>
    <w:rsid w:val="00396585"/>
    <w:rsid w:val="0039763A"/>
    <w:rsid w:val="003A7360"/>
    <w:rsid w:val="003B7467"/>
    <w:rsid w:val="003C0AA9"/>
    <w:rsid w:val="003D6E38"/>
    <w:rsid w:val="003D74A0"/>
    <w:rsid w:val="003E211C"/>
    <w:rsid w:val="004033D8"/>
    <w:rsid w:val="00407291"/>
    <w:rsid w:val="004073F0"/>
    <w:rsid w:val="00412A7D"/>
    <w:rsid w:val="00416B4D"/>
    <w:rsid w:val="00417CFC"/>
    <w:rsid w:val="00427F1F"/>
    <w:rsid w:val="00432BC9"/>
    <w:rsid w:val="004A06DC"/>
    <w:rsid w:val="004B24ED"/>
    <w:rsid w:val="004B39AC"/>
    <w:rsid w:val="004B6625"/>
    <w:rsid w:val="004B6AE1"/>
    <w:rsid w:val="004D2D82"/>
    <w:rsid w:val="004D3876"/>
    <w:rsid w:val="004E4552"/>
    <w:rsid w:val="004E6CDF"/>
    <w:rsid w:val="00553C9D"/>
    <w:rsid w:val="00562A66"/>
    <w:rsid w:val="00583F7D"/>
    <w:rsid w:val="005A01A5"/>
    <w:rsid w:val="005B064E"/>
    <w:rsid w:val="005D51AE"/>
    <w:rsid w:val="005E1790"/>
    <w:rsid w:val="0062674B"/>
    <w:rsid w:val="006363B2"/>
    <w:rsid w:val="00643CBC"/>
    <w:rsid w:val="00644940"/>
    <w:rsid w:val="00666FF8"/>
    <w:rsid w:val="006818A9"/>
    <w:rsid w:val="006A2D81"/>
    <w:rsid w:val="006A38A8"/>
    <w:rsid w:val="006C1D0D"/>
    <w:rsid w:val="006C3865"/>
    <w:rsid w:val="006F40C3"/>
    <w:rsid w:val="0070601E"/>
    <w:rsid w:val="00712C72"/>
    <w:rsid w:val="00726C02"/>
    <w:rsid w:val="00735FE9"/>
    <w:rsid w:val="00745A10"/>
    <w:rsid w:val="00763CAA"/>
    <w:rsid w:val="00765F66"/>
    <w:rsid w:val="0078664F"/>
    <w:rsid w:val="007C3FA6"/>
    <w:rsid w:val="007D585A"/>
    <w:rsid w:val="007D5A12"/>
    <w:rsid w:val="007E59F9"/>
    <w:rsid w:val="0080739A"/>
    <w:rsid w:val="00810BCD"/>
    <w:rsid w:val="00812C98"/>
    <w:rsid w:val="00814D92"/>
    <w:rsid w:val="00822CD8"/>
    <w:rsid w:val="0083181D"/>
    <w:rsid w:val="00843EB2"/>
    <w:rsid w:val="00865572"/>
    <w:rsid w:val="00874BBC"/>
    <w:rsid w:val="0087707D"/>
    <w:rsid w:val="00892135"/>
    <w:rsid w:val="00895449"/>
    <w:rsid w:val="00897879"/>
    <w:rsid w:val="008A6870"/>
    <w:rsid w:val="008B1056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091C"/>
    <w:rsid w:val="00A26BD6"/>
    <w:rsid w:val="00A443CF"/>
    <w:rsid w:val="00A6611D"/>
    <w:rsid w:val="00A759FA"/>
    <w:rsid w:val="00A82CB7"/>
    <w:rsid w:val="00A942C1"/>
    <w:rsid w:val="00AA2F03"/>
    <w:rsid w:val="00AC36F7"/>
    <w:rsid w:val="00AC63A4"/>
    <w:rsid w:val="00AD239E"/>
    <w:rsid w:val="00B10265"/>
    <w:rsid w:val="00B16A99"/>
    <w:rsid w:val="00B17BA5"/>
    <w:rsid w:val="00B21211"/>
    <w:rsid w:val="00B35784"/>
    <w:rsid w:val="00B47489"/>
    <w:rsid w:val="00B733A7"/>
    <w:rsid w:val="00B75C91"/>
    <w:rsid w:val="00B779BA"/>
    <w:rsid w:val="00B90171"/>
    <w:rsid w:val="00B975AD"/>
    <w:rsid w:val="00BC45FB"/>
    <w:rsid w:val="00BD71CF"/>
    <w:rsid w:val="00BF148D"/>
    <w:rsid w:val="00BF7609"/>
    <w:rsid w:val="00C23B1A"/>
    <w:rsid w:val="00C310EB"/>
    <w:rsid w:val="00C60356"/>
    <w:rsid w:val="00C9176A"/>
    <w:rsid w:val="00CF1AA2"/>
    <w:rsid w:val="00D158AE"/>
    <w:rsid w:val="00D17774"/>
    <w:rsid w:val="00D63620"/>
    <w:rsid w:val="00D8410D"/>
    <w:rsid w:val="00D867D7"/>
    <w:rsid w:val="00DB670D"/>
    <w:rsid w:val="00DB7060"/>
    <w:rsid w:val="00DE3153"/>
    <w:rsid w:val="00DF629C"/>
    <w:rsid w:val="00E06736"/>
    <w:rsid w:val="00E13C27"/>
    <w:rsid w:val="00E23D6A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3545A"/>
    <w:rsid w:val="00F36707"/>
    <w:rsid w:val="00F628D6"/>
    <w:rsid w:val="00F67051"/>
    <w:rsid w:val="00F80161"/>
    <w:rsid w:val="00F86A1E"/>
    <w:rsid w:val="00FA5E88"/>
    <w:rsid w:val="00FC3550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uiPriority w:val="99"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uiPriority w:val="99"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uiPriority w:val="99"/>
    <w:locked/>
    <w:rsid w:val="00643CBC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uiPriority w:val="99"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uiPriority w:val="99"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uiPriority w:val="99"/>
    <w:locked/>
    <w:rsid w:val="00643CBC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1E205BBB08441AEFFEBF8ABB23DF1" ma:contentTypeVersion="0" ma:contentTypeDescription="Create a new document." ma:contentTypeScope="" ma:versionID="5e16b795bfa190b891513a8f9da454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70593-A87A-410B-851F-311BAC790FDA}"/>
</file>

<file path=customXml/itemProps2.xml><?xml version="1.0" encoding="utf-8"?>
<ds:datastoreItem xmlns:ds="http://schemas.openxmlformats.org/officeDocument/2006/customXml" ds:itemID="{53CDC32B-DD97-493E-9196-3EF77D6F9C7D}"/>
</file>

<file path=customXml/itemProps3.xml><?xml version="1.0" encoding="utf-8"?>
<ds:datastoreItem xmlns:ds="http://schemas.openxmlformats.org/officeDocument/2006/customXml" ds:itemID="{88F4AFE3-9455-419C-8851-785A55F44517}"/>
</file>

<file path=customXml/itemProps4.xml><?xml version="1.0" encoding="utf-8"?>
<ds:datastoreItem xmlns:ds="http://schemas.openxmlformats.org/officeDocument/2006/customXml" ds:itemID="{0258FDA9-554E-40C3-AE29-C443D701D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4790</Characters>
  <Application>Microsoft Office Word</Application>
  <DocSecurity>0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כוכי שבתאי</cp:lastModifiedBy>
  <cp:revision>2</cp:revision>
  <cp:lastPrinted>2015-07-28T12:29:00Z</cp:lastPrinted>
  <dcterms:created xsi:type="dcterms:W3CDTF">2016-05-30T09:56:00Z</dcterms:created>
  <dcterms:modified xsi:type="dcterms:W3CDTF">2016-05-30T09:56:00Z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0x010100F931E205BBB08441AEFFEBF8ABB23DF1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88</vt:r8>
  </property>
  <property fmtid="{D5CDD505-2E9C-101B-9397-08002B2CF9AE}" pid="5" name="SanhedrinItemID">
    <vt:r8>2003052</vt:r8>
  </property>
</Properties>
</file>