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961A1" w14:textId="77777777" w:rsidR="002C2E29" w:rsidRPr="0000131B" w:rsidRDefault="004033D8" w:rsidP="00A443CF">
      <w:pPr>
        <w:pStyle w:val="HeadHatzaotHok"/>
        <w:jc w:val="right"/>
        <w:rPr>
          <w:b w:val="0"/>
          <w:bCs w:val="0"/>
          <w:szCs w:val="20"/>
        </w:rPr>
      </w:pPr>
      <w:bookmarkStart w:id="0" w:name="_GoBack"/>
      <w:bookmarkEnd w:id="0"/>
      <w:r w:rsidRPr="0000131B">
        <w:rPr>
          <w:rFonts w:hint="cs"/>
          <w:b w:val="0"/>
          <w:bCs w:val="0"/>
          <w:szCs w:val="20"/>
          <w:rtl/>
        </w:rPr>
        <w:t xml:space="preserve">מספר פנימי: </w:t>
      </w:r>
      <w:bookmarkStart w:id="1" w:name="LGS_Internal_ID"/>
      <w:r>
        <w:rPr>
          <w:rFonts w:hint="cs"/>
          <w:b w:val="0"/>
          <w:bCs w:val="0"/>
          <w:szCs w:val="20"/>
          <w:rtl/>
        </w:rPr>
        <w:t>574799</w:t>
      </w:r>
      <w:bookmarkEnd w:id="1"/>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2" w:name="LGS_Knesset_Num"/>
      <w:r>
        <w:rPr>
          <w:rFonts w:hint="cs"/>
          <w:sz w:val="28"/>
          <w:szCs w:val="28"/>
          <w:rtl/>
        </w:rPr>
        <w:t>העשרים</w:t>
      </w:r>
      <w:bookmarkEnd w:id="2"/>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3" w:name="LGS_Initiators_List"/>
      <w:r>
        <w:rPr>
          <w:b/>
          <w:bCs/>
          <w:rtl/>
        </w:rPr>
        <w:t>יוזמים:      חברי הכנסת</w:t>
      </w:r>
      <w:bookmarkEnd w:id="3"/>
      <w:r w:rsidR="00B35784" w:rsidRPr="00F67051">
        <w:rPr>
          <w:b/>
          <w:bCs/>
        </w:rPr>
        <w:tab/>
      </w:r>
      <w:bookmarkStart w:id="4" w:name="LGS_PM_Names"/>
      <w:r>
        <w:rPr>
          <w:rFonts w:hint="cs"/>
          <w:b/>
          <w:bCs/>
          <w:rtl/>
        </w:rPr>
        <w:t>רועי פולקמן</w:t>
      </w:r>
      <w:r>
        <w:br/>
      </w:r>
      <w:r>
        <w:rPr>
          <w:rFonts w:hint="cs"/>
          <w:b/>
          <w:bCs/>
          <w:rtl/>
        </w:rPr>
        <w:t xml:space="preserve"> </w:t>
      </w:r>
      <w:r>
        <w:tab/>
      </w:r>
      <w:r>
        <w:tab/>
      </w:r>
      <w:r>
        <w:tab/>
      </w:r>
      <w:r>
        <w:tab/>
      </w:r>
      <w:r>
        <w:rPr>
          <w:rFonts w:hint="cs"/>
          <w:b/>
          <w:bCs/>
          <w:rtl/>
        </w:rPr>
        <w:t>אלי כהן</w:t>
      </w:r>
      <w:r>
        <w:br/>
      </w:r>
      <w:r>
        <w:rPr>
          <w:rFonts w:hint="cs"/>
          <w:b/>
          <w:bCs/>
          <w:rtl/>
        </w:rPr>
        <w:t xml:space="preserve"> </w:t>
      </w:r>
      <w:r>
        <w:tab/>
      </w:r>
      <w:r>
        <w:tab/>
      </w:r>
      <w:r>
        <w:tab/>
      </w:r>
      <w:r>
        <w:tab/>
      </w:r>
      <w:r>
        <w:rPr>
          <w:rFonts w:hint="cs"/>
          <w:b/>
          <w:bCs/>
          <w:rtl/>
        </w:rPr>
        <w:t>מרב מיכאלי</w:t>
      </w:r>
      <w:r>
        <w:br/>
      </w:r>
      <w:r>
        <w:rPr>
          <w:rFonts w:hint="cs"/>
          <w:b/>
          <w:bCs/>
          <w:rtl/>
        </w:rPr>
        <w:t xml:space="preserve"> </w:t>
      </w:r>
      <w:r>
        <w:tab/>
      </w:r>
      <w:r>
        <w:tab/>
      </w:r>
      <w:r>
        <w:tab/>
      </w:r>
      <w:r>
        <w:tab/>
      </w:r>
      <w:r>
        <w:rPr>
          <w:rFonts w:hint="cs"/>
          <w:b/>
          <w:bCs/>
          <w:rtl/>
        </w:rPr>
        <w:t>שרן השכל</w:t>
      </w:r>
      <w:r>
        <w:br/>
      </w:r>
      <w:r>
        <w:rPr>
          <w:rFonts w:hint="cs"/>
          <w:b/>
          <w:bCs/>
          <w:rtl/>
        </w:rPr>
        <w:t xml:space="preserve"> </w:t>
      </w:r>
      <w:r>
        <w:tab/>
      </w:r>
      <w:r>
        <w:tab/>
      </w:r>
      <w:r>
        <w:tab/>
      </w:r>
      <w:r>
        <w:tab/>
      </w:r>
      <w:r>
        <w:rPr>
          <w:rFonts w:hint="cs"/>
          <w:b/>
          <w:bCs/>
          <w:rtl/>
        </w:rPr>
        <w:t>איילת נחמיאס ורבין</w:t>
      </w:r>
      <w:r>
        <w:br/>
      </w:r>
      <w:r>
        <w:rPr>
          <w:rFonts w:hint="cs"/>
          <w:b/>
          <w:bCs/>
          <w:rtl/>
        </w:rPr>
        <w:t xml:space="preserve"> </w:t>
      </w:r>
      <w:r>
        <w:tab/>
      </w:r>
      <w:r>
        <w:tab/>
      </w:r>
      <w:r>
        <w:tab/>
      </w:r>
      <w:r>
        <w:tab/>
      </w:r>
      <w:r>
        <w:rPr>
          <w:rFonts w:hint="cs"/>
          <w:b/>
          <w:bCs/>
          <w:rtl/>
        </w:rPr>
        <w:t>יואב בן צור</w:t>
      </w:r>
      <w:bookmarkEnd w:id="4"/>
    </w:p>
    <w:p w14:paraId="7F6961AA" w14:textId="39F9D96B" w:rsidR="00E13C27" w:rsidRPr="00CF1AA2" w:rsidRDefault="007D585A" w:rsidP="0036422C">
      <w:pPr>
        <w:pStyle w:val="David"/>
        <w:spacing w:before="0" w:line="360" w:lineRule="auto"/>
        <w:ind w:left="3544"/>
        <w:rPr>
          <w:b/>
          <w:bCs/>
          <w:sz w:val="16"/>
          <w:szCs w:val="16"/>
          <w:rtl/>
        </w:rPr>
      </w:pPr>
      <w:bookmarkStart w:id="5" w:name="LGS_Join_List"/>
      <w:r>
        <w:rPr>
          <w:rtl/>
        </w:rPr>
        <w:t xml:space="preserve"> </w:t>
      </w:r>
      <w:bookmarkEnd w:id="5"/>
      <w:r w:rsidR="002200A1" w:rsidRPr="00CF1AA2">
        <w:rPr>
          <w:rFonts w:hint="cs"/>
          <w:rtl/>
        </w:rPr>
        <w:tab/>
      </w:r>
      <w:bookmarkStart w:id="6" w:name="LGS_PM_NamesJoin"/>
      <w:r>
        <w:rPr>
          <w:rFonts w:hint="cs"/>
          <w:rtl/>
        </w:rPr>
        <w:t xml:space="preserve"> </w:t>
      </w:r>
      <w:bookmarkEnd w:id="6"/>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7" w:name="Private_Number"/>
      <w:r>
        <w:rPr>
          <w:rFonts w:hint="cs"/>
          <w:rtl/>
        </w:rPr>
        <w:t>פ/2653/20</w:t>
      </w:r>
      <w:bookmarkEnd w:id="7"/>
    </w:p>
    <w:p w14:paraId="7F6961AC" w14:textId="77777777" w:rsidR="00E13C27" w:rsidRDefault="00E13C27" w:rsidP="00E13C27">
      <w:pPr>
        <w:spacing w:before="0" w:line="360" w:lineRule="auto"/>
        <w:ind w:left="2880" w:firstLine="720"/>
        <w:rPr>
          <w:rFonts w:cs="David"/>
          <w:sz w:val="26"/>
          <w:szCs w:val="26"/>
          <w:rtl/>
        </w:rPr>
      </w:pPr>
    </w:p>
    <w:p w14:paraId="7F6961AD" w14:textId="6BF4E34C" w:rsidR="00E13C27" w:rsidRPr="00F67051" w:rsidRDefault="00A443CF" w:rsidP="008F78D5">
      <w:pPr>
        <w:pStyle w:val="HeadHatzaotHok"/>
        <w:rPr>
          <w:rtl/>
        </w:rPr>
      </w:pPr>
      <w:bookmarkStart w:id="8" w:name="LGS_Subject"/>
      <w:r>
        <w:rPr>
          <w:rFonts w:hint="cs"/>
          <w:rtl/>
        </w:rPr>
        <w:t>הצעת חוק הגבלת הפרסומת והשיווק של הגרלות והימורים, התשע"ו</w:t>
      </w:r>
      <w:r w:rsidR="008F78D5">
        <w:rPr>
          <w:rFonts w:hint="eastAsia"/>
          <w:rtl/>
        </w:rPr>
        <w:t>–</w:t>
      </w:r>
      <w:r>
        <w:rPr>
          <w:rFonts w:hint="cs"/>
          <w:rtl/>
        </w:rPr>
        <w:t>2016</w:t>
      </w:r>
      <w:bookmarkEnd w:id="8"/>
    </w:p>
    <w:p w14:paraId="7F6961AE" w14:textId="77777777" w:rsidR="00E13C27" w:rsidRDefault="00E13C27" w:rsidP="0021633A">
      <w:pPr>
        <w:pStyle w:val="HeadDivreiHesber"/>
        <w:spacing w:before="0" w:after="0"/>
        <w:rPr>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3"/>
      </w:tblGrid>
      <w:tr w:rsidR="002F1D80" w14:paraId="035EEF3D" w14:textId="77777777" w:rsidTr="00906DEC">
        <w:trPr>
          <w:cantSplit/>
        </w:trPr>
        <w:tc>
          <w:tcPr>
            <w:tcW w:w="1871" w:type="dxa"/>
          </w:tcPr>
          <w:p w14:paraId="3863FF98" w14:textId="0D638AB5" w:rsidR="002F1D80" w:rsidRDefault="006938E4" w:rsidP="002C3041">
            <w:pPr>
              <w:pStyle w:val="TableSideHeading"/>
              <w:keepLines w:val="0"/>
            </w:pPr>
            <w:r>
              <w:rPr>
                <w:rFonts w:hint="cs"/>
                <w:rtl/>
              </w:rPr>
              <w:t>הגדרות</w:t>
            </w:r>
          </w:p>
        </w:tc>
        <w:tc>
          <w:tcPr>
            <w:tcW w:w="624" w:type="dxa"/>
          </w:tcPr>
          <w:p w14:paraId="6F513EF6" w14:textId="7F6D6630" w:rsidR="002F1D80" w:rsidRDefault="006938E4" w:rsidP="002C3041">
            <w:pPr>
              <w:pStyle w:val="TableText"/>
              <w:keepLines w:val="0"/>
            </w:pPr>
            <w:r>
              <w:rPr>
                <w:rFonts w:hint="cs"/>
                <w:rtl/>
              </w:rPr>
              <w:t>1</w:t>
            </w:r>
            <w:r w:rsidR="00FC4B02">
              <w:rPr>
                <w:rFonts w:hint="cs"/>
                <w:rtl/>
              </w:rPr>
              <w:t>.</w:t>
            </w:r>
          </w:p>
        </w:tc>
        <w:tc>
          <w:tcPr>
            <w:tcW w:w="7143" w:type="dxa"/>
          </w:tcPr>
          <w:p w14:paraId="1AE94DEB" w14:textId="2E48AE64" w:rsidR="002F1D80" w:rsidRPr="006938E4" w:rsidRDefault="006938E4" w:rsidP="00906DEC">
            <w:pPr>
              <w:pStyle w:val="TableBlock"/>
              <w:rPr>
                <w:b/>
                <w:bCs/>
              </w:rPr>
            </w:pPr>
            <w:r w:rsidRPr="006938E4">
              <w:rPr>
                <w:rFonts w:hint="cs"/>
                <w:rtl/>
              </w:rPr>
              <w:t>בחוק זה</w:t>
            </w:r>
            <w:r>
              <w:rPr>
                <w:sz w:val="26"/>
                <w:rtl/>
              </w:rPr>
              <w:t xml:space="preserve"> </w:t>
            </w:r>
            <w:r>
              <w:rPr>
                <w:color w:val="auto"/>
                <w:sz w:val="26"/>
                <w:rtl/>
              </w:rPr>
              <w:t>–</w:t>
            </w:r>
          </w:p>
        </w:tc>
      </w:tr>
      <w:tr w:rsidR="00770B3B" w14:paraId="0B4D29EE" w14:textId="77777777" w:rsidTr="00906DEC">
        <w:trPr>
          <w:cantSplit/>
        </w:trPr>
        <w:tc>
          <w:tcPr>
            <w:tcW w:w="1871" w:type="dxa"/>
          </w:tcPr>
          <w:p w14:paraId="7BAE5A8D" w14:textId="77777777" w:rsidR="00770B3B" w:rsidRDefault="00770B3B" w:rsidP="002C3041">
            <w:pPr>
              <w:pStyle w:val="TableSideHeading"/>
              <w:keepLines w:val="0"/>
              <w:rPr>
                <w:rtl/>
              </w:rPr>
            </w:pPr>
          </w:p>
        </w:tc>
        <w:tc>
          <w:tcPr>
            <w:tcW w:w="624" w:type="dxa"/>
          </w:tcPr>
          <w:p w14:paraId="6AD4C8C8" w14:textId="77777777" w:rsidR="00770B3B" w:rsidRDefault="00770B3B" w:rsidP="002C3041">
            <w:pPr>
              <w:pStyle w:val="TableText"/>
              <w:keepLines w:val="0"/>
              <w:rPr>
                <w:rtl/>
              </w:rPr>
            </w:pPr>
          </w:p>
        </w:tc>
        <w:tc>
          <w:tcPr>
            <w:tcW w:w="7143" w:type="dxa"/>
          </w:tcPr>
          <w:p w14:paraId="0027A0B7" w14:textId="145730DB" w:rsidR="00770B3B" w:rsidRPr="00E56110" w:rsidRDefault="00797B14" w:rsidP="00906DEC">
            <w:pPr>
              <w:pStyle w:val="TableBlockOutdent"/>
              <w:rPr>
                <w:rtl/>
              </w:rPr>
            </w:pPr>
            <w:r>
              <w:rPr>
                <w:rtl/>
              </w:rPr>
              <w:t>"הגרלה"</w:t>
            </w:r>
            <w:r>
              <w:rPr>
                <w:rFonts w:hint="cs"/>
                <w:rtl/>
              </w:rPr>
              <w:t xml:space="preserve">, </w:t>
            </w:r>
            <w:r w:rsidR="00770B3B" w:rsidRPr="00FC4B02">
              <w:rPr>
                <w:rtl/>
              </w:rPr>
              <w:t xml:space="preserve">"הימור" </w:t>
            </w:r>
            <w:r w:rsidR="00770B3B" w:rsidRPr="00FC4B02">
              <w:rPr>
                <w:rFonts w:hint="eastAsia"/>
                <w:rtl/>
              </w:rPr>
              <w:t>–</w:t>
            </w:r>
            <w:r w:rsidR="00770B3B" w:rsidRPr="00FC4B02">
              <w:rPr>
                <w:rtl/>
              </w:rPr>
              <w:t xml:space="preserve"> </w:t>
            </w:r>
            <w:r w:rsidR="00770B3B" w:rsidRPr="00FC4B02">
              <w:rPr>
                <w:rFonts w:hint="eastAsia"/>
                <w:rtl/>
              </w:rPr>
              <w:t>הגרלה</w:t>
            </w:r>
            <w:r w:rsidR="00770B3B" w:rsidRPr="00FC4B02">
              <w:rPr>
                <w:rtl/>
              </w:rPr>
              <w:t xml:space="preserve"> או הימור </w:t>
            </w:r>
            <w:r w:rsidR="00770B3B" w:rsidRPr="00FC4B02">
              <w:rPr>
                <w:rFonts w:hint="eastAsia"/>
                <w:rtl/>
              </w:rPr>
              <w:t>שהוסדרו</w:t>
            </w:r>
            <w:r w:rsidR="00770B3B" w:rsidRPr="00FC4B02">
              <w:rPr>
                <w:rtl/>
              </w:rPr>
              <w:t xml:space="preserve"> בחוק או שניתן</w:t>
            </w:r>
            <w:r w:rsidR="00E56110">
              <w:rPr>
                <w:rFonts w:hint="cs"/>
                <w:rtl/>
              </w:rPr>
              <w:t xml:space="preserve"> היתר</w:t>
            </w:r>
            <w:r w:rsidR="00770B3B" w:rsidRPr="00FC4B02">
              <w:rPr>
                <w:rtl/>
              </w:rPr>
              <w:t xml:space="preserve"> </w:t>
            </w:r>
            <w:r w:rsidR="00FC4B02" w:rsidRPr="00FC4B02">
              <w:rPr>
                <w:rFonts w:hint="eastAsia"/>
                <w:rtl/>
              </w:rPr>
              <w:t>לעריכתם</w:t>
            </w:r>
            <w:r w:rsidR="00FC4B02" w:rsidRPr="00FC4B02">
              <w:rPr>
                <w:rtl/>
              </w:rPr>
              <w:t xml:space="preserve"> </w:t>
            </w:r>
            <w:r w:rsidR="00E56110">
              <w:rPr>
                <w:rFonts w:hint="cs"/>
                <w:rtl/>
              </w:rPr>
              <w:t>ל</w:t>
            </w:r>
            <w:r w:rsidR="00FC4B02" w:rsidRPr="00FC4B02">
              <w:rPr>
                <w:rFonts w:hint="eastAsia"/>
                <w:rtl/>
              </w:rPr>
              <w:t>פי</w:t>
            </w:r>
            <w:r w:rsidR="00FC4B02" w:rsidRPr="00FC4B02">
              <w:rPr>
                <w:rtl/>
              </w:rPr>
              <w:t xml:space="preserve"> </w:t>
            </w:r>
            <w:r w:rsidR="00FC4B02" w:rsidRPr="00FC4B02">
              <w:rPr>
                <w:rFonts w:hint="eastAsia"/>
                <w:rtl/>
              </w:rPr>
              <w:t>חוק</w:t>
            </w:r>
            <w:r w:rsidR="00906DEC">
              <w:rPr>
                <w:rFonts w:hint="cs"/>
                <w:rtl/>
              </w:rPr>
              <w:t>;</w:t>
            </w:r>
          </w:p>
        </w:tc>
      </w:tr>
      <w:tr w:rsidR="002F1D80" w14:paraId="3D9B61D1" w14:textId="77777777" w:rsidTr="00906DEC">
        <w:trPr>
          <w:cantSplit/>
        </w:trPr>
        <w:tc>
          <w:tcPr>
            <w:tcW w:w="1871" w:type="dxa"/>
          </w:tcPr>
          <w:p w14:paraId="6C0CB9D8" w14:textId="16F32C8D" w:rsidR="002F1D80" w:rsidRDefault="002F1D80" w:rsidP="002C3041">
            <w:pPr>
              <w:pStyle w:val="TableSideHeading"/>
              <w:keepLines w:val="0"/>
            </w:pPr>
          </w:p>
        </w:tc>
        <w:tc>
          <w:tcPr>
            <w:tcW w:w="624" w:type="dxa"/>
          </w:tcPr>
          <w:p w14:paraId="3F4286A2" w14:textId="77777777" w:rsidR="002F1D80" w:rsidRDefault="002F1D80" w:rsidP="002C3041">
            <w:pPr>
              <w:pStyle w:val="TableText"/>
              <w:keepLines w:val="0"/>
            </w:pPr>
          </w:p>
        </w:tc>
        <w:tc>
          <w:tcPr>
            <w:tcW w:w="7143" w:type="dxa"/>
          </w:tcPr>
          <w:p w14:paraId="7633D5BB" w14:textId="5D7BB4D9" w:rsidR="002F1D80" w:rsidRPr="00770B3B" w:rsidRDefault="006938E4" w:rsidP="00906DEC">
            <w:pPr>
              <w:pStyle w:val="TableBlockOutdent"/>
            </w:pPr>
            <w:r w:rsidRPr="00770B3B">
              <w:rPr>
                <w:rtl/>
              </w:rPr>
              <w:t xml:space="preserve">"פרסומת" </w:t>
            </w:r>
            <w:r w:rsidR="00770B3B">
              <w:rPr>
                <w:rFonts w:hint="eastAsia"/>
                <w:rtl/>
              </w:rPr>
              <w:t>–</w:t>
            </w:r>
            <w:r w:rsidR="00770B3B" w:rsidRPr="00770B3B">
              <w:rPr>
                <w:rtl/>
              </w:rPr>
              <w:t xml:space="preserve"> </w:t>
            </w:r>
            <w:r w:rsidRPr="00770B3B">
              <w:rPr>
                <w:rFonts w:hint="eastAsia"/>
                <w:rtl/>
              </w:rPr>
              <w:t>פרסומת</w:t>
            </w:r>
            <w:r w:rsidRPr="00770B3B">
              <w:rPr>
                <w:rtl/>
              </w:rPr>
              <w:t xml:space="preserve"> </w:t>
            </w:r>
            <w:r w:rsidRPr="00770B3B">
              <w:rPr>
                <w:rFonts w:hint="eastAsia"/>
                <w:rtl/>
              </w:rPr>
              <w:t>בעל</w:t>
            </w:r>
            <w:r w:rsidRPr="00770B3B">
              <w:rPr>
                <w:rtl/>
              </w:rPr>
              <w:t xml:space="preserve"> </w:t>
            </w:r>
            <w:r w:rsidRPr="00770B3B">
              <w:rPr>
                <w:rFonts w:hint="eastAsia"/>
                <w:rtl/>
              </w:rPr>
              <w:t>פה</w:t>
            </w:r>
            <w:r w:rsidRPr="00770B3B">
              <w:rPr>
                <w:rtl/>
              </w:rPr>
              <w:t xml:space="preserve">, </w:t>
            </w:r>
            <w:r w:rsidRPr="00770B3B">
              <w:rPr>
                <w:rFonts w:hint="eastAsia"/>
                <w:rtl/>
              </w:rPr>
              <w:t>בכתב</w:t>
            </w:r>
            <w:r w:rsidRPr="00770B3B">
              <w:rPr>
                <w:rtl/>
              </w:rPr>
              <w:t xml:space="preserve">, </w:t>
            </w:r>
            <w:r w:rsidRPr="00770B3B">
              <w:rPr>
                <w:rFonts w:hint="eastAsia"/>
                <w:rtl/>
              </w:rPr>
              <w:t>בדפוס</w:t>
            </w:r>
            <w:r w:rsidRPr="00770B3B">
              <w:rPr>
                <w:rtl/>
              </w:rPr>
              <w:t xml:space="preserve"> </w:t>
            </w:r>
            <w:r w:rsidRPr="00770B3B">
              <w:rPr>
                <w:rFonts w:hint="eastAsia"/>
                <w:rtl/>
              </w:rPr>
              <w:t>או</w:t>
            </w:r>
            <w:r w:rsidRPr="00770B3B">
              <w:rPr>
                <w:rtl/>
              </w:rPr>
              <w:t xml:space="preserve"> </w:t>
            </w:r>
            <w:r w:rsidRPr="00770B3B">
              <w:rPr>
                <w:rFonts w:hint="eastAsia"/>
                <w:rtl/>
              </w:rPr>
              <w:t>באמצעים</w:t>
            </w:r>
            <w:r w:rsidRPr="00770B3B">
              <w:rPr>
                <w:rtl/>
              </w:rPr>
              <w:t xml:space="preserve"> </w:t>
            </w:r>
            <w:r w:rsidRPr="00770B3B">
              <w:rPr>
                <w:rFonts w:hint="eastAsia"/>
                <w:rtl/>
              </w:rPr>
              <w:t>אלקטרוניים</w:t>
            </w:r>
            <w:r w:rsidRPr="00770B3B">
              <w:rPr>
                <w:rtl/>
              </w:rPr>
              <w:t xml:space="preserve">, </w:t>
            </w:r>
            <w:r w:rsidRPr="00770B3B">
              <w:rPr>
                <w:rFonts w:hint="eastAsia"/>
                <w:rtl/>
              </w:rPr>
              <w:t>המיועדת</w:t>
            </w:r>
            <w:r w:rsidRPr="00770B3B">
              <w:rPr>
                <w:rtl/>
              </w:rPr>
              <w:t xml:space="preserve"> </w:t>
            </w:r>
            <w:r w:rsidRPr="00770B3B">
              <w:rPr>
                <w:rFonts w:hint="eastAsia"/>
                <w:rtl/>
              </w:rPr>
              <w:t>או</w:t>
            </w:r>
            <w:r w:rsidRPr="00770B3B">
              <w:rPr>
                <w:rtl/>
              </w:rPr>
              <w:t xml:space="preserve"> </w:t>
            </w:r>
            <w:r w:rsidRPr="00770B3B">
              <w:rPr>
                <w:rFonts w:hint="eastAsia"/>
                <w:rtl/>
              </w:rPr>
              <w:t>הזמינה</w:t>
            </w:r>
            <w:r w:rsidRPr="00770B3B">
              <w:rPr>
                <w:rtl/>
              </w:rPr>
              <w:t xml:space="preserve"> </w:t>
            </w:r>
            <w:r w:rsidRPr="00770B3B">
              <w:rPr>
                <w:rFonts w:hint="eastAsia"/>
                <w:rtl/>
              </w:rPr>
              <w:t>לציבור</w:t>
            </w:r>
            <w:r w:rsidRPr="00770B3B">
              <w:rPr>
                <w:rtl/>
              </w:rPr>
              <w:t xml:space="preserve">, </w:t>
            </w:r>
            <w:r w:rsidRPr="00770B3B">
              <w:rPr>
                <w:rFonts w:hint="eastAsia"/>
                <w:rtl/>
              </w:rPr>
              <w:t>לרבות</w:t>
            </w:r>
            <w:r w:rsidRPr="00770B3B">
              <w:rPr>
                <w:rtl/>
              </w:rPr>
              <w:t xml:space="preserve"> </w:t>
            </w:r>
            <w:r w:rsidRPr="00770B3B">
              <w:rPr>
                <w:rFonts w:hint="eastAsia"/>
                <w:rtl/>
              </w:rPr>
              <w:t>פרסומת</w:t>
            </w:r>
            <w:r w:rsidRPr="00770B3B">
              <w:rPr>
                <w:rtl/>
              </w:rPr>
              <w:t xml:space="preserve"> </w:t>
            </w:r>
            <w:r w:rsidRPr="00770B3B">
              <w:rPr>
                <w:rFonts w:hint="eastAsia"/>
                <w:rtl/>
              </w:rPr>
              <w:t>עקיפה</w:t>
            </w:r>
            <w:r w:rsidR="00770B3B" w:rsidRPr="00770B3B">
              <w:rPr>
                <w:rtl/>
              </w:rPr>
              <w:t>;</w:t>
            </w:r>
          </w:p>
        </w:tc>
      </w:tr>
      <w:tr w:rsidR="00770B3B" w14:paraId="0FE76F74" w14:textId="77777777" w:rsidTr="00906DEC">
        <w:trPr>
          <w:cantSplit/>
        </w:trPr>
        <w:tc>
          <w:tcPr>
            <w:tcW w:w="1871" w:type="dxa"/>
          </w:tcPr>
          <w:p w14:paraId="577DE4A7" w14:textId="77777777" w:rsidR="00770B3B" w:rsidRDefault="00770B3B" w:rsidP="002C3041">
            <w:pPr>
              <w:pStyle w:val="TableSideHeading"/>
              <w:keepLines w:val="0"/>
            </w:pPr>
          </w:p>
        </w:tc>
        <w:tc>
          <w:tcPr>
            <w:tcW w:w="624" w:type="dxa"/>
          </w:tcPr>
          <w:p w14:paraId="13B9C080" w14:textId="77777777" w:rsidR="00770B3B" w:rsidRDefault="00770B3B" w:rsidP="002C3041">
            <w:pPr>
              <w:pStyle w:val="TableText"/>
              <w:keepLines w:val="0"/>
            </w:pPr>
          </w:p>
        </w:tc>
        <w:tc>
          <w:tcPr>
            <w:tcW w:w="7143" w:type="dxa"/>
          </w:tcPr>
          <w:p w14:paraId="581A9C35" w14:textId="74AF3208" w:rsidR="00770B3B" w:rsidRPr="00770B3B" w:rsidRDefault="00770B3B" w:rsidP="00906DEC">
            <w:pPr>
              <w:pStyle w:val="TableBlockOutdent"/>
              <w:rPr>
                <w:rtl/>
              </w:rPr>
            </w:pPr>
            <w:r w:rsidRPr="00770B3B">
              <w:rPr>
                <w:rtl/>
              </w:rPr>
              <w:t xml:space="preserve">"פרסומת עקיפה" </w:t>
            </w:r>
            <w:r w:rsidR="00EF5063">
              <w:rPr>
                <w:rFonts w:hint="eastAsia"/>
                <w:rtl/>
              </w:rPr>
              <w:t>–</w:t>
            </w:r>
            <w:r w:rsidR="00EF5063">
              <w:rPr>
                <w:rtl/>
              </w:rPr>
              <w:t xml:space="preserve"> </w:t>
            </w:r>
            <w:r w:rsidR="00EF5063">
              <w:rPr>
                <w:rFonts w:hint="eastAsia"/>
                <w:rtl/>
              </w:rPr>
              <w:t>פרסומת</w:t>
            </w:r>
            <w:r w:rsidR="00EF5063">
              <w:rPr>
                <w:rtl/>
              </w:rPr>
              <w:t xml:space="preserve"> </w:t>
            </w:r>
            <w:r w:rsidR="00EF5063">
              <w:rPr>
                <w:rFonts w:hint="eastAsia"/>
                <w:rtl/>
              </w:rPr>
              <w:t>שלא</w:t>
            </w:r>
            <w:r w:rsidR="00EF5063">
              <w:rPr>
                <w:rtl/>
              </w:rPr>
              <w:t xml:space="preserve"> </w:t>
            </w:r>
            <w:r w:rsidR="00EF5063">
              <w:rPr>
                <w:rFonts w:hint="eastAsia"/>
                <w:rtl/>
              </w:rPr>
              <w:t>למוצר</w:t>
            </w:r>
            <w:r w:rsidR="00EF5063">
              <w:rPr>
                <w:rtl/>
              </w:rPr>
              <w:t xml:space="preserve"> </w:t>
            </w:r>
            <w:r w:rsidR="00EF5063">
              <w:rPr>
                <w:rFonts w:hint="eastAsia"/>
                <w:rtl/>
              </w:rPr>
              <w:t>הגרל</w:t>
            </w:r>
            <w:r w:rsidR="00EF5063">
              <w:rPr>
                <w:rFonts w:hint="cs"/>
                <w:rtl/>
              </w:rPr>
              <w:t>ה</w:t>
            </w:r>
            <w:r w:rsidR="00EF5063">
              <w:rPr>
                <w:rtl/>
              </w:rPr>
              <w:t xml:space="preserve"> </w:t>
            </w:r>
            <w:r w:rsidR="00EF5063">
              <w:rPr>
                <w:rFonts w:hint="cs"/>
                <w:rtl/>
              </w:rPr>
              <w:t xml:space="preserve">או </w:t>
            </w:r>
            <w:r w:rsidR="00EF5063">
              <w:rPr>
                <w:rFonts w:hint="eastAsia"/>
                <w:rtl/>
              </w:rPr>
              <w:t>הימור</w:t>
            </w:r>
            <w:r w:rsidRPr="00770B3B">
              <w:rPr>
                <w:rtl/>
              </w:rPr>
              <w:t xml:space="preserve">, </w:t>
            </w:r>
            <w:r w:rsidRPr="00770B3B">
              <w:rPr>
                <w:rFonts w:hint="eastAsia"/>
                <w:rtl/>
              </w:rPr>
              <w:t>שמטרתה</w:t>
            </w:r>
            <w:r w:rsidRPr="00770B3B">
              <w:rPr>
                <w:rtl/>
              </w:rPr>
              <w:t xml:space="preserve">, </w:t>
            </w:r>
            <w:r w:rsidRPr="00770B3B">
              <w:rPr>
                <w:rFonts w:hint="eastAsia"/>
                <w:rtl/>
              </w:rPr>
              <w:t>בין</w:t>
            </w:r>
            <w:r w:rsidRPr="00770B3B">
              <w:rPr>
                <w:rtl/>
              </w:rPr>
              <w:t xml:space="preserve"> </w:t>
            </w:r>
            <w:r w:rsidRPr="00770B3B">
              <w:rPr>
                <w:rFonts w:hint="eastAsia"/>
                <w:rtl/>
              </w:rPr>
              <w:t>היתר</w:t>
            </w:r>
            <w:r w:rsidRPr="00770B3B">
              <w:rPr>
                <w:rtl/>
              </w:rPr>
              <w:t xml:space="preserve">, </w:t>
            </w:r>
            <w:r w:rsidRPr="00770B3B">
              <w:rPr>
                <w:rFonts w:hint="eastAsia"/>
                <w:rtl/>
              </w:rPr>
              <w:t>לקדם</w:t>
            </w:r>
            <w:r w:rsidRPr="00770B3B">
              <w:rPr>
                <w:rtl/>
              </w:rPr>
              <w:t xml:space="preserve"> </w:t>
            </w:r>
            <w:r w:rsidRPr="00770B3B">
              <w:rPr>
                <w:rFonts w:hint="eastAsia"/>
                <w:rtl/>
              </w:rPr>
              <w:t>שיווק</w:t>
            </w:r>
            <w:r w:rsidRPr="00770B3B">
              <w:rPr>
                <w:rtl/>
              </w:rPr>
              <w:t xml:space="preserve"> </w:t>
            </w:r>
            <w:r w:rsidRPr="00770B3B">
              <w:rPr>
                <w:rFonts w:hint="eastAsia"/>
                <w:rtl/>
              </w:rPr>
              <w:t>של</w:t>
            </w:r>
            <w:r w:rsidRPr="00770B3B">
              <w:rPr>
                <w:rtl/>
              </w:rPr>
              <w:t xml:space="preserve"> </w:t>
            </w:r>
            <w:r w:rsidRPr="00770B3B">
              <w:rPr>
                <w:rFonts w:hint="eastAsia"/>
                <w:rtl/>
              </w:rPr>
              <w:t>מוצר</w:t>
            </w:r>
            <w:r w:rsidRPr="00770B3B">
              <w:rPr>
                <w:rtl/>
              </w:rPr>
              <w:t xml:space="preserve"> </w:t>
            </w:r>
            <w:r w:rsidRPr="00770B3B">
              <w:rPr>
                <w:rFonts w:hint="eastAsia"/>
                <w:rtl/>
              </w:rPr>
              <w:t>טבק</w:t>
            </w:r>
            <w:r w:rsidRPr="00770B3B">
              <w:rPr>
                <w:rtl/>
              </w:rPr>
              <w:t xml:space="preserve"> </w:t>
            </w:r>
            <w:r w:rsidRPr="00770B3B">
              <w:rPr>
                <w:rFonts w:hint="eastAsia"/>
                <w:rtl/>
              </w:rPr>
              <w:t>מסוים</w:t>
            </w:r>
            <w:r w:rsidRPr="00770B3B">
              <w:rPr>
                <w:rtl/>
              </w:rPr>
              <w:t>;</w:t>
            </w:r>
          </w:p>
        </w:tc>
      </w:tr>
      <w:tr w:rsidR="00441CC4" w14:paraId="45939AF9" w14:textId="77777777" w:rsidTr="00906DEC">
        <w:trPr>
          <w:cantSplit/>
        </w:trPr>
        <w:tc>
          <w:tcPr>
            <w:tcW w:w="1871" w:type="dxa"/>
          </w:tcPr>
          <w:p w14:paraId="2EE23760" w14:textId="77777777" w:rsidR="00441CC4" w:rsidRDefault="00441CC4" w:rsidP="002C3041">
            <w:pPr>
              <w:pStyle w:val="TableSideHeading"/>
              <w:keepLines w:val="0"/>
            </w:pPr>
          </w:p>
        </w:tc>
        <w:tc>
          <w:tcPr>
            <w:tcW w:w="624" w:type="dxa"/>
          </w:tcPr>
          <w:p w14:paraId="3773285B" w14:textId="77777777" w:rsidR="00441CC4" w:rsidRDefault="00441CC4" w:rsidP="00441CC4">
            <w:pPr>
              <w:pStyle w:val="TableText"/>
            </w:pPr>
          </w:p>
        </w:tc>
        <w:tc>
          <w:tcPr>
            <w:tcW w:w="7143" w:type="dxa"/>
          </w:tcPr>
          <w:p w14:paraId="57DFF3AA" w14:textId="2A4CA5BE" w:rsidR="00441CC4" w:rsidRPr="00770B3B" w:rsidRDefault="00441CC4" w:rsidP="00906DEC">
            <w:pPr>
              <w:pStyle w:val="TableBlockOutdent"/>
              <w:rPr>
                <w:rtl/>
              </w:rPr>
            </w:pPr>
            <w:r w:rsidRPr="00770B3B">
              <w:rPr>
                <w:rtl/>
              </w:rPr>
              <w:t xml:space="preserve">"שיווק" – מכירה </w:t>
            </w:r>
            <w:r w:rsidRPr="00770B3B">
              <w:rPr>
                <w:rFonts w:hint="eastAsia"/>
                <w:rtl/>
              </w:rPr>
              <w:t>של</w:t>
            </w:r>
            <w:r w:rsidRPr="00770B3B">
              <w:rPr>
                <w:rtl/>
              </w:rPr>
              <w:t xml:space="preserve"> </w:t>
            </w:r>
            <w:r w:rsidR="00770B3B" w:rsidRPr="00770B3B">
              <w:rPr>
                <w:rFonts w:hint="eastAsia"/>
                <w:rtl/>
              </w:rPr>
              <w:t>מוצר</w:t>
            </w:r>
            <w:r w:rsidR="00770B3B" w:rsidRPr="00770B3B">
              <w:rPr>
                <w:rtl/>
              </w:rPr>
              <w:t xml:space="preserve"> </w:t>
            </w:r>
            <w:r w:rsidR="00770B3B" w:rsidRPr="00770B3B">
              <w:rPr>
                <w:rFonts w:hint="eastAsia"/>
                <w:rtl/>
              </w:rPr>
              <w:t>הגרלה</w:t>
            </w:r>
            <w:r w:rsidR="00770B3B" w:rsidRPr="00770B3B">
              <w:rPr>
                <w:rtl/>
              </w:rPr>
              <w:t xml:space="preserve"> </w:t>
            </w:r>
            <w:r w:rsidR="00770B3B" w:rsidRPr="00770B3B">
              <w:rPr>
                <w:rFonts w:hint="eastAsia"/>
                <w:rtl/>
              </w:rPr>
              <w:t>או</w:t>
            </w:r>
            <w:r w:rsidR="00770B3B" w:rsidRPr="00770B3B">
              <w:rPr>
                <w:rtl/>
              </w:rPr>
              <w:t xml:space="preserve"> </w:t>
            </w:r>
            <w:r w:rsidR="00770B3B" w:rsidRPr="00770B3B">
              <w:rPr>
                <w:rFonts w:hint="eastAsia"/>
                <w:rtl/>
              </w:rPr>
              <w:t>הימור</w:t>
            </w:r>
            <w:r w:rsidRPr="00770B3B">
              <w:rPr>
                <w:rtl/>
              </w:rPr>
              <w:t>.</w:t>
            </w:r>
          </w:p>
        </w:tc>
      </w:tr>
      <w:tr w:rsidR="00F7684A" w14:paraId="75C23C5D" w14:textId="77777777" w:rsidTr="00906DEC">
        <w:trPr>
          <w:cantSplit/>
        </w:trPr>
        <w:tc>
          <w:tcPr>
            <w:tcW w:w="1871" w:type="dxa"/>
          </w:tcPr>
          <w:p w14:paraId="0234C731" w14:textId="2CBFA28E" w:rsidR="00F7684A" w:rsidRDefault="00F7684A" w:rsidP="002C3041">
            <w:pPr>
              <w:pStyle w:val="TableSideHeading"/>
              <w:keepLines w:val="0"/>
            </w:pPr>
            <w:r>
              <w:rPr>
                <w:rFonts w:hint="cs"/>
                <w:rtl/>
              </w:rPr>
              <w:t>איסור פרסומת בשבח ה</w:t>
            </w:r>
            <w:r w:rsidR="00202B28">
              <w:rPr>
                <w:rFonts w:hint="cs"/>
                <w:rtl/>
              </w:rPr>
              <w:t>גרלה או הימור</w:t>
            </w:r>
          </w:p>
        </w:tc>
        <w:tc>
          <w:tcPr>
            <w:tcW w:w="624" w:type="dxa"/>
          </w:tcPr>
          <w:p w14:paraId="3DCA4B7D" w14:textId="7B8C6485" w:rsidR="00F7684A" w:rsidRDefault="00F7684A" w:rsidP="00F7684A">
            <w:pPr>
              <w:pStyle w:val="TableText"/>
            </w:pPr>
            <w:r>
              <w:rPr>
                <w:rFonts w:hint="cs"/>
                <w:rtl/>
              </w:rPr>
              <w:t>2</w:t>
            </w:r>
            <w:r w:rsidR="00FC4B02">
              <w:rPr>
                <w:rFonts w:hint="cs"/>
                <w:rtl/>
              </w:rPr>
              <w:t>.</w:t>
            </w:r>
          </w:p>
        </w:tc>
        <w:tc>
          <w:tcPr>
            <w:tcW w:w="7143" w:type="dxa"/>
          </w:tcPr>
          <w:p w14:paraId="14BEC618" w14:textId="62EB42FF" w:rsidR="00F7684A" w:rsidRPr="00906DEC" w:rsidRDefault="0091153C" w:rsidP="00906DEC">
            <w:pPr>
              <w:pStyle w:val="TableBlock"/>
              <w:rPr>
                <w:rtl/>
              </w:rPr>
            </w:pPr>
            <w:r w:rsidRPr="00906DEC">
              <w:rPr>
                <w:rFonts w:hint="cs"/>
                <w:rtl/>
              </w:rPr>
              <w:t>לא יעשה אדם פרסומ</w:t>
            </w:r>
            <w:r w:rsidR="00C27475" w:rsidRPr="00906DEC">
              <w:rPr>
                <w:rFonts w:hint="cs"/>
                <w:rtl/>
              </w:rPr>
              <w:t>ת בשבח הגרל</w:t>
            </w:r>
            <w:r w:rsidR="00EF5063" w:rsidRPr="00906DEC">
              <w:rPr>
                <w:rFonts w:hint="cs"/>
                <w:rtl/>
              </w:rPr>
              <w:t xml:space="preserve">ה או </w:t>
            </w:r>
            <w:r w:rsidR="00C27475" w:rsidRPr="00906DEC">
              <w:rPr>
                <w:rFonts w:hint="cs"/>
                <w:rtl/>
              </w:rPr>
              <w:t>הימור כשלעצמם ולא יפרסם תוכן פרסומי העלול ליצור את הרושם שהימורים</w:t>
            </w:r>
            <w:r w:rsidR="00E56110" w:rsidRPr="00906DEC">
              <w:rPr>
                <w:rFonts w:hint="cs"/>
                <w:rtl/>
              </w:rPr>
              <w:t xml:space="preserve"> או הגרלות</w:t>
            </w:r>
            <w:r w:rsidR="00C27475" w:rsidRPr="00906DEC">
              <w:rPr>
                <w:rFonts w:hint="cs"/>
                <w:rtl/>
              </w:rPr>
              <w:t xml:space="preserve"> עשויים לשפר את מצבו הכלכלי של המשתתף או את מעמדו החברתי. </w:t>
            </w:r>
          </w:p>
        </w:tc>
      </w:tr>
      <w:tr w:rsidR="0091153C" w14:paraId="6308A63F" w14:textId="77777777" w:rsidTr="00906DEC">
        <w:trPr>
          <w:cantSplit/>
        </w:trPr>
        <w:tc>
          <w:tcPr>
            <w:tcW w:w="1871" w:type="dxa"/>
          </w:tcPr>
          <w:p w14:paraId="5DC03E75" w14:textId="7676133D" w:rsidR="0091153C" w:rsidRDefault="00FC4B02" w:rsidP="002C3041">
            <w:pPr>
              <w:pStyle w:val="TableSideHeading"/>
              <w:keepLines w:val="0"/>
              <w:rPr>
                <w:rtl/>
              </w:rPr>
            </w:pPr>
            <w:r>
              <w:rPr>
                <w:rFonts w:hint="cs"/>
                <w:rtl/>
              </w:rPr>
              <w:t>ח</w:t>
            </w:r>
            <w:r w:rsidR="00EF5063">
              <w:rPr>
                <w:rFonts w:hint="cs"/>
                <w:rtl/>
              </w:rPr>
              <w:t xml:space="preserve">ובת הכללת הבהרות </w:t>
            </w:r>
            <w:r>
              <w:rPr>
                <w:rFonts w:hint="cs"/>
                <w:rtl/>
              </w:rPr>
              <w:t>בפרסום</w:t>
            </w:r>
          </w:p>
        </w:tc>
        <w:tc>
          <w:tcPr>
            <w:tcW w:w="624" w:type="dxa"/>
          </w:tcPr>
          <w:p w14:paraId="33290232" w14:textId="63F208C3" w:rsidR="0091153C" w:rsidRDefault="0091153C" w:rsidP="0091153C">
            <w:pPr>
              <w:pStyle w:val="TableText"/>
              <w:rPr>
                <w:rtl/>
              </w:rPr>
            </w:pPr>
            <w:r>
              <w:rPr>
                <w:rFonts w:hint="cs"/>
                <w:rtl/>
              </w:rPr>
              <w:t>3</w:t>
            </w:r>
            <w:r w:rsidR="00FC4B02">
              <w:rPr>
                <w:rFonts w:hint="cs"/>
                <w:rtl/>
              </w:rPr>
              <w:t>.</w:t>
            </w:r>
          </w:p>
        </w:tc>
        <w:tc>
          <w:tcPr>
            <w:tcW w:w="7143" w:type="dxa"/>
          </w:tcPr>
          <w:p w14:paraId="4745FD06" w14:textId="1DD8BC2F" w:rsidR="0091153C" w:rsidRPr="00906DEC" w:rsidRDefault="0091153C" w:rsidP="00906DEC">
            <w:pPr>
              <w:pStyle w:val="TableBlock"/>
              <w:rPr>
                <w:rtl/>
              </w:rPr>
            </w:pPr>
            <w:r w:rsidRPr="00906DEC">
              <w:rPr>
                <w:rFonts w:hint="cs"/>
                <w:rtl/>
              </w:rPr>
              <w:t xml:space="preserve">לא </w:t>
            </w:r>
            <w:r w:rsidR="00F25D8C" w:rsidRPr="00906DEC">
              <w:rPr>
                <w:rFonts w:hint="cs"/>
                <w:rtl/>
              </w:rPr>
              <w:t>י</w:t>
            </w:r>
            <w:r w:rsidR="00FC4B02" w:rsidRPr="00906DEC">
              <w:rPr>
                <w:rFonts w:hint="cs"/>
                <w:rtl/>
              </w:rPr>
              <w:t>עשה</w:t>
            </w:r>
            <w:r w:rsidR="00F25D8C" w:rsidRPr="00906DEC">
              <w:rPr>
                <w:rFonts w:hint="cs"/>
                <w:rtl/>
              </w:rPr>
              <w:t xml:space="preserve"> </w:t>
            </w:r>
            <w:r w:rsidRPr="00906DEC">
              <w:rPr>
                <w:rFonts w:hint="cs"/>
                <w:rtl/>
              </w:rPr>
              <w:t>אדם</w:t>
            </w:r>
            <w:r w:rsidR="00FC4B02" w:rsidRPr="00906DEC">
              <w:rPr>
                <w:rFonts w:hint="cs"/>
                <w:rtl/>
              </w:rPr>
              <w:t xml:space="preserve"> פרסומת</w:t>
            </w:r>
            <w:r w:rsidRPr="00906DEC">
              <w:rPr>
                <w:rFonts w:hint="cs"/>
                <w:rtl/>
              </w:rPr>
              <w:t xml:space="preserve"> </w:t>
            </w:r>
            <w:r w:rsidR="00FC4B02" w:rsidRPr="00906DEC">
              <w:rPr>
                <w:rFonts w:hint="cs"/>
                <w:rtl/>
              </w:rPr>
              <w:t>ל</w:t>
            </w:r>
            <w:r w:rsidRPr="00906DEC">
              <w:rPr>
                <w:rFonts w:hint="cs"/>
                <w:rtl/>
              </w:rPr>
              <w:t>מוצר הגרל</w:t>
            </w:r>
            <w:r w:rsidR="00EF5063" w:rsidRPr="00906DEC">
              <w:rPr>
                <w:rFonts w:hint="cs"/>
                <w:rtl/>
              </w:rPr>
              <w:t>ה</w:t>
            </w:r>
            <w:r w:rsidRPr="00906DEC">
              <w:rPr>
                <w:rFonts w:hint="cs"/>
                <w:rtl/>
              </w:rPr>
              <w:t xml:space="preserve"> </w:t>
            </w:r>
            <w:r w:rsidR="00EF5063" w:rsidRPr="00906DEC">
              <w:rPr>
                <w:rFonts w:hint="cs"/>
                <w:rtl/>
              </w:rPr>
              <w:t xml:space="preserve">או </w:t>
            </w:r>
            <w:r w:rsidRPr="00906DEC">
              <w:rPr>
                <w:rFonts w:hint="cs"/>
                <w:rtl/>
              </w:rPr>
              <w:t xml:space="preserve">הימור </w:t>
            </w:r>
            <w:r w:rsidR="00F25D8C" w:rsidRPr="00906DEC">
              <w:rPr>
                <w:rFonts w:hint="cs"/>
                <w:rtl/>
              </w:rPr>
              <w:t xml:space="preserve">אלא אם </w:t>
            </w:r>
            <w:r w:rsidR="00EF5063" w:rsidRPr="00906DEC">
              <w:rPr>
                <w:rFonts w:hint="cs"/>
                <w:rtl/>
              </w:rPr>
              <w:t>כלול</w:t>
            </w:r>
            <w:r w:rsidR="000F283E" w:rsidRPr="00906DEC">
              <w:rPr>
                <w:rFonts w:hint="cs"/>
                <w:rtl/>
              </w:rPr>
              <w:t>ים</w:t>
            </w:r>
            <w:r w:rsidR="00FC4B02" w:rsidRPr="00906DEC">
              <w:rPr>
                <w:rFonts w:hint="cs"/>
                <w:rtl/>
              </w:rPr>
              <w:t xml:space="preserve"> בה</w:t>
            </w:r>
            <w:r w:rsidR="00E56110" w:rsidRPr="00906DEC">
              <w:rPr>
                <w:rFonts w:hint="cs"/>
                <w:rtl/>
              </w:rPr>
              <w:t xml:space="preserve"> </w:t>
            </w:r>
            <w:r w:rsidR="001C69A3" w:rsidRPr="00906DEC">
              <w:rPr>
                <w:rtl/>
              </w:rPr>
              <w:t>–</w:t>
            </w:r>
          </w:p>
        </w:tc>
      </w:tr>
      <w:tr w:rsidR="00906DEC" w14:paraId="6DBFBA65" w14:textId="77777777" w:rsidTr="00BE4624">
        <w:trPr>
          <w:cantSplit/>
        </w:trPr>
        <w:tc>
          <w:tcPr>
            <w:tcW w:w="1871" w:type="dxa"/>
          </w:tcPr>
          <w:p w14:paraId="23F39A1D" w14:textId="77777777" w:rsidR="00906DEC" w:rsidRDefault="00906DEC">
            <w:pPr>
              <w:pStyle w:val="TableSideHeading"/>
            </w:pPr>
          </w:p>
        </w:tc>
        <w:tc>
          <w:tcPr>
            <w:tcW w:w="624" w:type="dxa"/>
          </w:tcPr>
          <w:p w14:paraId="536C0FFE" w14:textId="77777777" w:rsidR="00906DEC" w:rsidRDefault="00906DEC">
            <w:pPr>
              <w:pStyle w:val="TableText"/>
            </w:pPr>
          </w:p>
        </w:tc>
        <w:tc>
          <w:tcPr>
            <w:tcW w:w="7143" w:type="dxa"/>
          </w:tcPr>
          <w:p w14:paraId="056779FE" w14:textId="61B61D66" w:rsidR="00906DEC" w:rsidRPr="00906DEC" w:rsidRDefault="00906DEC" w:rsidP="00906DEC">
            <w:pPr>
              <w:pStyle w:val="TableBlock"/>
            </w:pPr>
            <w:r w:rsidRPr="00906DEC">
              <w:rPr>
                <w:rFonts w:hint="cs"/>
                <w:rtl/>
              </w:rPr>
              <w:t>(1)</w:t>
            </w:r>
            <w:r w:rsidRPr="00906DEC">
              <w:rPr>
                <w:rtl/>
              </w:rPr>
              <w:tab/>
            </w:r>
            <w:r w:rsidRPr="00906DEC">
              <w:rPr>
                <w:rFonts w:hint="cs"/>
                <w:rtl/>
              </w:rPr>
              <w:t xml:space="preserve">הבהרה בדבר סיכויי הזכייה בהגרלה או בהימור באופן מדויק, שלא תציג סיכויי זכייה גבוהים מסיכויי הזכייה הקיימים במציאות; לעניין זה, "סיכוי זכייה" </w:t>
            </w:r>
            <w:r w:rsidRPr="00906DEC">
              <w:rPr>
                <w:rFonts w:hint="eastAsia"/>
                <w:rtl/>
              </w:rPr>
              <w:t xml:space="preserve">– </w:t>
            </w:r>
            <w:r>
              <w:rPr>
                <w:rFonts w:hint="cs"/>
                <w:rtl/>
              </w:rPr>
              <w:t>ההסתברות לזכייה בפרס המ</w:t>
            </w:r>
            <w:r w:rsidRPr="00906DEC">
              <w:rPr>
                <w:rFonts w:hint="cs"/>
                <w:rtl/>
              </w:rPr>
              <w:t>רבי שבו ניתן לזכות באמצעות ההשתתפות בהגרלה;</w:t>
            </w:r>
          </w:p>
        </w:tc>
      </w:tr>
      <w:tr w:rsidR="00906DEC" w14:paraId="244229E1" w14:textId="77777777" w:rsidTr="00A6795A">
        <w:trPr>
          <w:cantSplit/>
        </w:trPr>
        <w:tc>
          <w:tcPr>
            <w:tcW w:w="1871" w:type="dxa"/>
          </w:tcPr>
          <w:p w14:paraId="1EA748D6" w14:textId="77777777" w:rsidR="00906DEC" w:rsidRDefault="00906DEC">
            <w:pPr>
              <w:pStyle w:val="TableSideHeading"/>
              <w:rPr>
                <w:rtl/>
              </w:rPr>
            </w:pPr>
          </w:p>
        </w:tc>
        <w:tc>
          <w:tcPr>
            <w:tcW w:w="624" w:type="dxa"/>
          </w:tcPr>
          <w:p w14:paraId="12A1F7A3" w14:textId="77777777" w:rsidR="00906DEC" w:rsidRDefault="00906DEC" w:rsidP="00FF55FD">
            <w:pPr>
              <w:pStyle w:val="TableText"/>
            </w:pPr>
          </w:p>
        </w:tc>
        <w:tc>
          <w:tcPr>
            <w:tcW w:w="7143" w:type="dxa"/>
          </w:tcPr>
          <w:p w14:paraId="781DA4A4" w14:textId="3F9AD09E" w:rsidR="00906DEC" w:rsidRPr="00906DEC" w:rsidRDefault="00906DEC" w:rsidP="00906DEC">
            <w:pPr>
              <w:pStyle w:val="TableBlock"/>
              <w:rPr>
                <w:rtl/>
              </w:rPr>
            </w:pPr>
            <w:r w:rsidRPr="00906DEC">
              <w:rPr>
                <w:rFonts w:hint="cs"/>
                <w:rtl/>
              </w:rPr>
              <w:t>(2)</w:t>
            </w:r>
            <w:r w:rsidRPr="00906DEC">
              <w:rPr>
                <w:rtl/>
              </w:rPr>
              <w:tab/>
            </w:r>
            <w:r w:rsidRPr="00906DEC">
              <w:rPr>
                <w:rFonts w:hint="cs"/>
                <w:rtl/>
              </w:rPr>
              <w:t>מידע אודות ההשלכות השליליו</w:t>
            </w:r>
            <w:r w:rsidRPr="00906DEC">
              <w:rPr>
                <w:rFonts w:hint="eastAsia"/>
                <w:rtl/>
              </w:rPr>
              <w:t>ת</w:t>
            </w:r>
            <w:r w:rsidRPr="00906DEC">
              <w:rPr>
                <w:rFonts w:hint="cs"/>
                <w:rtl/>
              </w:rPr>
              <w:t xml:space="preserve"> האפשריות של הימורים או הגרלות. </w:t>
            </w:r>
          </w:p>
        </w:tc>
      </w:tr>
      <w:tr w:rsidR="00FC4B02" w14:paraId="089A0B69" w14:textId="77777777" w:rsidTr="00906DEC">
        <w:trPr>
          <w:cantSplit/>
        </w:trPr>
        <w:tc>
          <w:tcPr>
            <w:tcW w:w="1871" w:type="dxa"/>
          </w:tcPr>
          <w:p w14:paraId="67ED2C69" w14:textId="6577CC22" w:rsidR="00FC4B02" w:rsidRDefault="000F283E" w:rsidP="00E56110">
            <w:pPr>
              <w:pStyle w:val="TableSideHeading"/>
            </w:pPr>
            <w:r>
              <w:rPr>
                <w:rFonts w:hint="cs"/>
                <w:rtl/>
              </w:rPr>
              <w:t xml:space="preserve">הכללת הבהרות </w:t>
            </w:r>
            <w:r w:rsidR="00E56110">
              <w:rPr>
                <w:rFonts w:hint="cs"/>
                <w:rtl/>
              </w:rPr>
              <w:t>בטפסי</w:t>
            </w:r>
            <w:r>
              <w:rPr>
                <w:rFonts w:hint="cs"/>
                <w:rtl/>
              </w:rPr>
              <w:t xml:space="preserve"> הגרלה או הימור</w:t>
            </w:r>
          </w:p>
        </w:tc>
        <w:tc>
          <w:tcPr>
            <w:tcW w:w="624" w:type="dxa"/>
          </w:tcPr>
          <w:p w14:paraId="10CDB31B" w14:textId="659C72E0" w:rsidR="00FC4B02" w:rsidRDefault="00EF5063">
            <w:pPr>
              <w:pStyle w:val="TableText"/>
            </w:pPr>
            <w:r>
              <w:rPr>
                <w:rFonts w:hint="cs"/>
                <w:rtl/>
              </w:rPr>
              <w:t>4.</w:t>
            </w:r>
          </w:p>
        </w:tc>
        <w:tc>
          <w:tcPr>
            <w:tcW w:w="7143" w:type="dxa"/>
          </w:tcPr>
          <w:p w14:paraId="3E5CC90F" w14:textId="6F5764BE" w:rsidR="00FC4B02" w:rsidRPr="00C34DE2" w:rsidRDefault="00EF5063" w:rsidP="00906DEC">
            <w:pPr>
              <w:pStyle w:val="TableBlock"/>
            </w:pPr>
            <w:r>
              <w:rPr>
                <w:rFonts w:hint="cs"/>
                <w:rtl/>
              </w:rPr>
              <w:t>לא ישווק אדם מוצר הגרלה או הימור, אלא אם כן</w:t>
            </w:r>
            <w:r w:rsidR="00E56110">
              <w:rPr>
                <w:rFonts w:hint="cs"/>
                <w:rtl/>
              </w:rPr>
              <w:t xml:space="preserve"> כלל</w:t>
            </w:r>
            <w:r w:rsidR="00543A12">
              <w:rPr>
                <w:rFonts w:hint="cs"/>
                <w:rtl/>
              </w:rPr>
              <w:t xml:space="preserve"> באופן ברור</w:t>
            </w:r>
            <w:r w:rsidR="00E56110">
              <w:rPr>
                <w:rFonts w:hint="cs"/>
                <w:rtl/>
              </w:rPr>
              <w:t xml:space="preserve"> ב</w:t>
            </w:r>
            <w:r>
              <w:rPr>
                <w:rFonts w:hint="cs"/>
                <w:rtl/>
              </w:rPr>
              <w:t>טופס ההגרלה או ההימור, לפי העניין, הבהרות כאמור בסעיף 3</w:t>
            </w:r>
            <w:r w:rsidR="00DF35CF">
              <w:rPr>
                <w:rFonts w:hint="cs"/>
                <w:rtl/>
              </w:rPr>
              <w:t xml:space="preserve">; לעניין זה, "טופס הגרלה או הימור" </w:t>
            </w:r>
            <w:r w:rsidR="00DF35CF">
              <w:rPr>
                <w:rFonts w:hint="eastAsia"/>
                <w:rtl/>
              </w:rPr>
              <w:t>– לרבות כרטיס הגרלה או הימור.</w:t>
            </w:r>
          </w:p>
        </w:tc>
      </w:tr>
      <w:tr w:rsidR="00C00988" w14:paraId="4BE8DBC6" w14:textId="77777777" w:rsidTr="00906DEC">
        <w:trPr>
          <w:cantSplit/>
        </w:trPr>
        <w:tc>
          <w:tcPr>
            <w:tcW w:w="1871" w:type="dxa"/>
          </w:tcPr>
          <w:p w14:paraId="03A13E92" w14:textId="13F3CE6E" w:rsidR="00C00988" w:rsidRDefault="00C00988" w:rsidP="002C3041">
            <w:pPr>
              <w:pStyle w:val="TableSideHeading"/>
              <w:keepLines w:val="0"/>
              <w:rPr>
                <w:rtl/>
              </w:rPr>
            </w:pPr>
            <w:r>
              <w:rPr>
                <w:rFonts w:hint="cs"/>
                <w:rtl/>
              </w:rPr>
              <w:t>עונשין</w:t>
            </w:r>
          </w:p>
        </w:tc>
        <w:tc>
          <w:tcPr>
            <w:tcW w:w="624" w:type="dxa"/>
          </w:tcPr>
          <w:p w14:paraId="5BEA2A19" w14:textId="61353714" w:rsidR="00C00988" w:rsidRDefault="00EF5063" w:rsidP="00C27475">
            <w:pPr>
              <w:pStyle w:val="TableText"/>
              <w:rPr>
                <w:rtl/>
              </w:rPr>
            </w:pPr>
            <w:r>
              <w:rPr>
                <w:rFonts w:hint="cs"/>
                <w:rtl/>
              </w:rPr>
              <w:t>5.</w:t>
            </w:r>
          </w:p>
        </w:tc>
        <w:tc>
          <w:tcPr>
            <w:tcW w:w="7143" w:type="dxa"/>
          </w:tcPr>
          <w:p w14:paraId="415DF0BA" w14:textId="518EED34" w:rsidR="00C00988" w:rsidRPr="00906DEC" w:rsidRDefault="00C00988" w:rsidP="00906DEC">
            <w:pPr>
              <w:pStyle w:val="TableBlock"/>
              <w:rPr>
                <w:rtl/>
              </w:rPr>
            </w:pPr>
            <w:r w:rsidRPr="00906DEC">
              <w:rPr>
                <w:rtl/>
              </w:rPr>
              <w:t>העובר על הוראות חוק זה, דינו –</w:t>
            </w:r>
            <w:r w:rsidR="00770B3B" w:rsidRPr="00906DEC">
              <w:rPr>
                <w:rFonts w:hint="cs"/>
                <w:rtl/>
              </w:rPr>
              <w:t xml:space="preserve"> קנס כאמור בסעיף 61(א)(4) לחוק העונשין, התשל"ז</w:t>
            </w:r>
            <w:r w:rsidR="00770B3B" w:rsidRPr="00906DEC">
              <w:rPr>
                <w:rFonts w:hint="eastAsia"/>
                <w:rtl/>
              </w:rPr>
              <w:t>–1977</w:t>
            </w:r>
            <w:r w:rsidR="00770B3B" w:rsidRPr="00906DEC">
              <w:rPr>
                <w:sz w:val="12"/>
                <w:szCs w:val="18"/>
                <w:rtl/>
              </w:rPr>
              <w:footnoteReference w:id="2"/>
            </w:r>
            <w:r w:rsidR="00770B3B" w:rsidRPr="00906DEC">
              <w:rPr>
                <w:rFonts w:hint="cs"/>
                <w:rtl/>
              </w:rPr>
              <w:t>.</w:t>
            </w:r>
          </w:p>
        </w:tc>
      </w:tr>
    </w:tbl>
    <w:p w14:paraId="7F6961CA" w14:textId="77777777" w:rsidR="002D1EE3" w:rsidRDefault="002D1EE3" w:rsidP="002D1EE3">
      <w:pPr>
        <w:pStyle w:val="HeadDivreiHesber"/>
        <w:rPr>
          <w:rtl/>
        </w:rPr>
      </w:pPr>
      <w:r w:rsidRPr="0027450A">
        <w:rPr>
          <w:rFonts w:hint="cs"/>
          <w:rtl/>
        </w:rPr>
        <w:t>דברי הסבר</w:t>
      </w:r>
    </w:p>
    <w:p w14:paraId="39DFB0E5" w14:textId="77777777" w:rsidR="006C1657" w:rsidRDefault="00A41134" w:rsidP="00E13C27">
      <w:pPr>
        <w:pStyle w:val="Hesber"/>
        <w:rPr>
          <w:rtl/>
        </w:rPr>
      </w:pPr>
      <w:r>
        <w:rPr>
          <w:rFonts w:hint="cs"/>
          <w:rtl/>
        </w:rPr>
        <w:t xml:space="preserve">הימורים היו תמיד חלק בלתי נפרד מהחברה האנושית ונראה כי ניסיון למנעם כליל נדון לכישלון. בישראל נמצאה דרך ביניים המתירה הימורים אך ורק לגופים ממלכתיים. פתרון זה נועד לאפשר פיקוח על היקף ההימורים ולהבטיח כי רווחי ההימורים יופנו לאפיקים מועילים לציבור. </w:t>
      </w:r>
    </w:p>
    <w:p w14:paraId="57F2510B" w14:textId="2CDD9DD6" w:rsidR="00D22C7B" w:rsidRDefault="007F7BCC" w:rsidP="00333F65">
      <w:pPr>
        <w:pStyle w:val="Hesber"/>
        <w:rPr>
          <w:rtl/>
        </w:rPr>
      </w:pPr>
      <w:r>
        <w:rPr>
          <w:rFonts w:hint="cs"/>
          <w:rtl/>
        </w:rPr>
        <w:t>כיום</w:t>
      </w:r>
      <w:r w:rsidR="00543A12">
        <w:rPr>
          <w:rFonts w:hint="cs"/>
          <w:rtl/>
        </w:rPr>
        <w:t>,</w:t>
      </w:r>
      <w:r>
        <w:rPr>
          <w:rFonts w:hint="cs"/>
          <w:rtl/>
        </w:rPr>
        <w:t xml:space="preserve"> החוקים ו</w:t>
      </w:r>
      <w:r w:rsidR="00202B28">
        <w:rPr>
          <w:rFonts w:hint="cs"/>
          <w:rtl/>
        </w:rPr>
        <w:t>ה</w:t>
      </w:r>
      <w:r>
        <w:rPr>
          <w:rFonts w:hint="cs"/>
          <w:rtl/>
        </w:rPr>
        <w:t xml:space="preserve">הוראות המסדירים את שידור הפרסומות ושידורי החסות בערוצי הטלוויזיה והרדיו השונים אינם מטילים מגבלות תוכן על פרסום הימורים בטלוויזיה או בכל מדיום אחר. </w:t>
      </w:r>
      <w:r w:rsidR="00345B5B">
        <w:rPr>
          <w:rFonts w:hint="cs"/>
          <w:rtl/>
        </w:rPr>
        <w:t xml:space="preserve">במדינות רבות בעולם מקובל להסדיר ולהגביל פרסומות ושיווק של הימורים חוקיים באמצעות חקיקה. </w:t>
      </w:r>
      <w:r w:rsidR="00D25E97">
        <w:rPr>
          <w:rFonts w:hint="cs"/>
          <w:rtl/>
        </w:rPr>
        <w:t>ממחקרים עולה כי פרסום ושיווק הימורים מהווים גורם בעל מ</w:t>
      </w:r>
      <w:r w:rsidR="001C69A3">
        <w:rPr>
          <w:rFonts w:hint="cs"/>
          <w:rtl/>
        </w:rPr>
        <w:t>ש</w:t>
      </w:r>
      <w:r w:rsidR="00D25E97">
        <w:rPr>
          <w:rFonts w:hint="cs"/>
          <w:rtl/>
        </w:rPr>
        <w:t>מעות, בתוך מכלול הגורמים המשפיעים על התנהגות ההימורים בחברה ועל התפתחות הפרעות הימורים בקרב אנשים המועדים לכך</w:t>
      </w:r>
      <w:r w:rsidR="00543A12">
        <w:rPr>
          <w:rFonts w:hint="cs"/>
          <w:rtl/>
        </w:rPr>
        <w:t>,</w:t>
      </w:r>
      <w:r w:rsidR="00333F65">
        <w:rPr>
          <w:rFonts w:hint="cs"/>
          <w:rtl/>
        </w:rPr>
        <w:t xml:space="preserve"> לרבות בקרב בני נוער</w:t>
      </w:r>
      <w:r w:rsidR="00D25E97">
        <w:rPr>
          <w:rFonts w:hint="cs"/>
          <w:rtl/>
        </w:rPr>
        <w:t xml:space="preserve">. </w:t>
      </w:r>
      <w:r w:rsidR="00D22C7B">
        <w:rPr>
          <w:rFonts w:hint="cs"/>
          <w:rtl/>
        </w:rPr>
        <w:t>שיווק הימורים באופן שמציג את הפעולה כמסלול לשינוי מסלול חיים של אדם</w:t>
      </w:r>
      <w:r w:rsidR="00543A12">
        <w:rPr>
          <w:rFonts w:hint="cs"/>
          <w:rtl/>
        </w:rPr>
        <w:t>,</w:t>
      </w:r>
      <w:r w:rsidR="00D22C7B">
        <w:rPr>
          <w:rFonts w:hint="cs"/>
          <w:rtl/>
        </w:rPr>
        <w:t xml:space="preserve"> מייצר מצג שווא אשלייתי שמעודד אנשים להמר בצורה חסרת אחריות. </w:t>
      </w:r>
      <w:r w:rsidR="00D25E97">
        <w:rPr>
          <w:rFonts w:hint="cs"/>
          <w:rtl/>
        </w:rPr>
        <w:t xml:space="preserve">פרסום ושיווק הימורים משפיע על רמת החשיפה להימורים, תחושת הזמינות והנגישות של הימורים </w:t>
      </w:r>
      <w:r w:rsidR="00FF55FD">
        <w:rPr>
          <w:rFonts w:hint="cs"/>
          <w:rtl/>
        </w:rPr>
        <w:t>וכן על מידת הלגיטימציה החברתית.</w:t>
      </w:r>
      <w:r w:rsidR="00EF021A">
        <w:rPr>
          <w:rFonts w:hint="cs"/>
          <w:rtl/>
        </w:rPr>
        <w:t xml:space="preserve"> </w:t>
      </w:r>
    </w:p>
    <w:p w14:paraId="7F6961CB" w14:textId="3A2EBBE9" w:rsidR="00E13C27" w:rsidRDefault="001C69A3" w:rsidP="00D22C7B">
      <w:pPr>
        <w:pStyle w:val="Hesber"/>
        <w:rPr>
          <w:rtl/>
        </w:rPr>
      </w:pPr>
      <w:r>
        <w:rPr>
          <w:rFonts w:hint="cs"/>
          <w:rtl/>
        </w:rPr>
        <w:t xml:space="preserve">נוכח הנזק החברתי, המשפחתי והאישי העלול להיגרם בשל הימורים, נטען כי פרסום ושיווק הימורים דומים במהותם לפרסום ושיווק של אלכוהול ומוצרי טבק, וכי ניתן ללמוד מן המחקרים לגבי השפעות פרסום של אותם מוצרים. </w:t>
      </w:r>
      <w:r w:rsidR="006C1657">
        <w:rPr>
          <w:rFonts w:hint="cs"/>
          <w:rtl/>
        </w:rPr>
        <w:t xml:space="preserve">בהתאם </w:t>
      </w:r>
      <w:r w:rsidR="00FF73E9">
        <w:rPr>
          <w:rFonts w:hint="cs"/>
          <w:rtl/>
        </w:rPr>
        <w:t xml:space="preserve">לכך, </w:t>
      </w:r>
      <w:r w:rsidR="006C1657">
        <w:rPr>
          <w:rFonts w:hint="cs"/>
          <w:rtl/>
        </w:rPr>
        <w:t>בדומה לאיסור החל על פרסום</w:t>
      </w:r>
      <w:r w:rsidR="00543A12">
        <w:rPr>
          <w:rFonts w:hint="cs"/>
          <w:rtl/>
        </w:rPr>
        <w:t xml:space="preserve"> בשבח</w:t>
      </w:r>
      <w:r w:rsidR="006C1657">
        <w:rPr>
          <w:rFonts w:hint="cs"/>
          <w:rtl/>
        </w:rPr>
        <w:t xml:space="preserve"> מוצרי</w:t>
      </w:r>
      <w:r w:rsidR="00F42BBB">
        <w:rPr>
          <w:rFonts w:hint="cs"/>
          <w:rtl/>
        </w:rPr>
        <w:t xml:space="preserve"> טבק ואלכוהול, </w:t>
      </w:r>
      <w:r w:rsidR="00FF73E9">
        <w:rPr>
          <w:rFonts w:hint="cs"/>
          <w:rtl/>
        </w:rPr>
        <w:t xml:space="preserve">מוצע </w:t>
      </w:r>
      <w:r w:rsidR="00F42BBB">
        <w:rPr>
          <w:rFonts w:hint="cs"/>
          <w:rtl/>
        </w:rPr>
        <w:t xml:space="preserve">לקבוע בחוק </w:t>
      </w:r>
      <w:r w:rsidR="00AE7B44">
        <w:rPr>
          <w:rFonts w:hint="cs"/>
          <w:rtl/>
        </w:rPr>
        <w:t xml:space="preserve">איסור פרסומת בשבח הימורים והגרלות. בנוסף, </w:t>
      </w:r>
      <w:r w:rsidR="00FF73E9">
        <w:rPr>
          <w:rFonts w:hint="cs"/>
          <w:rtl/>
        </w:rPr>
        <w:t xml:space="preserve">מוצע </w:t>
      </w:r>
      <w:r w:rsidR="00AE7B44">
        <w:rPr>
          <w:rFonts w:hint="cs"/>
          <w:rtl/>
        </w:rPr>
        <w:t xml:space="preserve">לקבוע </w:t>
      </w:r>
      <w:r w:rsidR="00F42BBB">
        <w:rPr>
          <w:rFonts w:hint="cs"/>
          <w:rtl/>
        </w:rPr>
        <w:t>חובת פרסום ההשלכות השליליו</w:t>
      </w:r>
      <w:r w:rsidR="00F42BBB">
        <w:rPr>
          <w:rFonts w:hint="eastAsia"/>
          <w:rtl/>
        </w:rPr>
        <w:t>ת</w:t>
      </w:r>
      <w:r w:rsidR="00F42BBB">
        <w:rPr>
          <w:rFonts w:hint="cs"/>
          <w:rtl/>
        </w:rPr>
        <w:t xml:space="preserve"> של </w:t>
      </w:r>
      <w:r w:rsidR="00543A12">
        <w:rPr>
          <w:rFonts w:hint="cs"/>
          <w:rtl/>
        </w:rPr>
        <w:t>הגרלות ו</w:t>
      </w:r>
      <w:r w:rsidR="00F42BBB">
        <w:rPr>
          <w:rFonts w:hint="cs"/>
          <w:rtl/>
        </w:rPr>
        <w:t xml:space="preserve">הימורים </w:t>
      </w:r>
      <w:r w:rsidR="00AE7B44">
        <w:rPr>
          <w:rFonts w:hint="cs"/>
          <w:rtl/>
        </w:rPr>
        <w:t>ו</w:t>
      </w:r>
      <w:r w:rsidR="00F42BBB">
        <w:rPr>
          <w:rFonts w:hint="cs"/>
          <w:rtl/>
        </w:rPr>
        <w:t>פרסום</w:t>
      </w:r>
      <w:r w:rsidR="00543A12">
        <w:rPr>
          <w:rFonts w:hint="cs"/>
          <w:rtl/>
        </w:rPr>
        <w:t xml:space="preserve"> של </w:t>
      </w:r>
      <w:r w:rsidR="00F42BBB">
        <w:rPr>
          <w:rFonts w:hint="cs"/>
          <w:rtl/>
        </w:rPr>
        <w:t>סיכויי הזכייה</w:t>
      </w:r>
      <w:r w:rsidR="00543A12">
        <w:rPr>
          <w:rFonts w:hint="cs"/>
          <w:rtl/>
        </w:rPr>
        <w:t xml:space="preserve"> במוצר הגרלה או הימור</w:t>
      </w:r>
      <w:r w:rsidR="00F42BBB">
        <w:rPr>
          <w:rFonts w:hint="cs"/>
          <w:rtl/>
        </w:rPr>
        <w:t xml:space="preserve"> באופן מדוי</w:t>
      </w:r>
      <w:r w:rsidR="00D22C7B">
        <w:rPr>
          <w:rFonts w:hint="cs"/>
          <w:rtl/>
        </w:rPr>
        <w:t>ק</w:t>
      </w:r>
      <w:r w:rsidR="00543A12">
        <w:rPr>
          <w:rFonts w:hint="cs"/>
          <w:rtl/>
        </w:rPr>
        <w:t>,</w:t>
      </w:r>
      <w:r w:rsidR="00D22C7B">
        <w:rPr>
          <w:rFonts w:hint="cs"/>
          <w:rtl/>
        </w:rPr>
        <w:t xml:space="preserve"> זאת על מנת להקטין את הסיכוי להימור חסר אחריות ואשלייתי. </w:t>
      </w:r>
    </w:p>
    <w:p w14:paraId="0A10D120" w14:textId="2D8258BC" w:rsidR="00906DEC" w:rsidRDefault="00906DEC" w:rsidP="00D22C7B">
      <w:pPr>
        <w:pStyle w:val="Hesber"/>
        <w:rPr>
          <w:rtl/>
        </w:rPr>
      </w:pPr>
    </w:p>
    <w:p w14:paraId="42F78A53" w14:textId="77777777" w:rsidR="00906DEC" w:rsidRDefault="00906DEC" w:rsidP="00D22C7B">
      <w:pPr>
        <w:pStyle w:val="Hesber"/>
        <w:rPr>
          <w:rtl/>
        </w:rPr>
      </w:pPr>
    </w:p>
    <w:p w14:paraId="436B4388" w14:textId="77777777" w:rsidR="00906DEC" w:rsidRPr="00557D2C" w:rsidRDefault="00906DEC" w:rsidP="007D273A">
      <w:pPr>
        <w:pStyle w:val="Hesber"/>
        <w:rPr>
          <w:rtl/>
        </w:rPr>
      </w:pPr>
      <w:r w:rsidRPr="00557D2C">
        <w:rPr>
          <w:rtl/>
        </w:rPr>
        <w:t>---------------------------------</w:t>
      </w:r>
    </w:p>
    <w:p w14:paraId="050A8B5B" w14:textId="77777777" w:rsidR="00906DEC" w:rsidRPr="00557D2C" w:rsidRDefault="00906DEC" w:rsidP="007D273A">
      <w:pPr>
        <w:pStyle w:val="Hesber"/>
        <w:rPr>
          <w:rtl/>
        </w:rPr>
      </w:pPr>
      <w:r w:rsidRPr="00557D2C">
        <w:rPr>
          <w:rtl/>
        </w:rPr>
        <w:t>הוגשה ליו"ר הכנסת והסגנים</w:t>
      </w:r>
    </w:p>
    <w:p w14:paraId="0090D876" w14:textId="77777777" w:rsidR="00906DEC" w:rsidRPr="00557D2C" w:rsidRDefault="00906DEC" w:rsidP="007D273A">
      <w:pPr>
        <w:pStyle w:val="Hesber"/>
        <w:rPr>
          <w:rtl/>
        </w:rPr>
      </w:pPr>
      <w:r w:rsidRPr="00557D2C">
        <w:rPr>
          <w:rtl/>
        </w:rPr>
        <w:t>והונחה על שולחן הכנסת ביום</w:t>
      </w:r>
    </w:p>
    <w:p w14:paraId="6889753B" w14:textId="751C59FE" w:rsidR="00906DEC" w:rsidRDefault="00906DEC" w:rsidP="00906DEC">
      <w:pPr>
        <w:pStyle w:val="Hesber"/>
        <w:rPr>
          <w:rtl/>
        </w:rPr>
      </w:pPr>
      <w:r>
        <w:rPr>
          <w:rFonts w:hint="cs"/>
          <w:rtl/>
        </w:rPr>
        <w:t>י"ג באדר א' התשע"ו</w:t>
      </w:r>
      <w:r w:rsidRPr="00557D2C">
        <w:rPr>
          <w:rFonts w:hint="cs"/>
          <w:rtl/>
        </w:rPr>
        <w:t xml:space="preserve"> </w:t>
      </w:r>
      <w:r w:rsidRPr="00557D2C">
        <w:rPr>
          <w:rtl/>
        </w:rPr>
        <w:t>–</w:t>
      </w:r>
      <w:r>
        <w:rPr>
          <w:rFonts w:hint="cs"/>
          <w:rtl/>
        </w:rPr>
        <w:t xml:space="preserve"> 22.2.16</w:t>
      </w:r>
    </w:p>
    <w:p w14:paraId="2146BA6D" w14:textId="77777777" w:rsidR="008E46A0" w:rsidRDefault="008E46A0" w:rsidP="00AE7B44">
      <w:pPr>
        <w:pStyle w:val="Hesber"/>
        <w:rPr>
          <w:rtl/>
        </w:rPr>
      </w:pPr>
    </w:p>
    <w:sectPr w:rsidR="008E46A0" w:rsidSect="001207F8">
      <w:footerReference w:type="even" r:id="rId12"/>
      <w:footerReference w:type="default" r:id="rId13"/>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A743F" w14:textId="77777777" w:rsidR="00220EEE" w:rsidRDefault="00220EEE">
      <w:r>
        <w:separator/>
      </w:r>
    </w:p>
  </w:endnote>
  <w:endnote w:type="continuationSeparator" w:id="0">
    <w:p w14:paraId="09BC3113" w14:textId="77777777" w:rsidR="00220EEE" w:rsidRDefault="00220EEE">
      <w:r>
        <w:continuationSeparator/>
      </w:r>
    </w:p>
  </w:endnote>
  <w:endnote w:type="continuationNotice" w:id="1">
    <w:p w14:paraId="6358E5D2" w14:textId="77777777" w:rsidR="00220EEE" w:rsidRDefault="00220EE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61D5" w14:textId="77777777" w:rsidR="002C3041" w:rsidRDefault="002C3041" w:rsidP="001207F8">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end"/>
    </w:r>
  </w:p>
  <w:p w14:paraId="7F6961D6" w14:textId="77777777" w:rsidR="002C3041" w:rsidRDefault="002C304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61D7" w14:textId="77777777" w:rsidR="002C3041" w:rsidRDefault="002C3041" w:rsidP="001207F8">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sidR="0045371B">
      <w:rPr>
        <w:rStyle w:val="ac"/>
        <w:noProof/>
        <w:rtl/>
      </w:rPr>
      <w:t>2</w:t>
    </w:r>
    <w:r>
      <w:rPr>
        <w:rStyle w:val="ac"/>
        <w:rtl/>
      </w:rPr>
      <w:fldChar w:fldCharType="end"/>
    </w:r>
  </w:p>
  <w:p w14:paraId="7F6961D8" w14:textId="77777777" w:rsidR="002C3041" w:rsidRDefault="002C304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4E9DC" w14:textId="77777777" w:rsidR="00220EEE" w:rsidRDefault="00220EEE">
      <w:r>
        <w:separator/>
      </w:r>
    </w:p>
  </w:footnote>
  <w:footnote w:type="continuationSeparator" w:id="0">
    <w:p w14:paraId="69C96AEE" w14:textId="77777777" w:rsidR="00220EEE" w:rsidRDefault="00220EEE">
      <w:r>
        <w:continuationSeparator/>
      </w:r>
    </w:p>
  </w:footnote>
  <w:footnote w:type="continuationNotice" w:id="1">
    <w:p w14:paraId="09A49764" w14:textId="77777777" w:rsidR="00220EEE" w:rsidRDefault="00220EEE"/>
  </w:footnote>
  <w:footnote w:id="2">
    <w:p w14:paraId="3422CEF8" w14:textId="2C4EA066" w:rsidR="00770B3B" w:rsidRDefault="00770B3B">
      <w:pPr>
        <w:pStyle w:val="a5"/>
      </w:pPr>
      <w:r>
        <w:rPr>
          <w:rStyle w:val="a7"/>
        </w:rPr>
        <w:footnoteRef/>
      </w:r>
      <w:r>
        <w:rPr>
          <w:rtl/>
        </w:rPr>
        <w:t xml:space="preserve"> </w:t>
      </w:r>
      <w:r>
        <w:rPr>
          <w:sz w:val="20"/>
          <w:rtl/>
        </w:rPr>
        <w:t>ס"ח התשל"ז, עמ' 226.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7E319F"/>
    <w:multiLevelType w:val="hybridMultilevel"/>
    <w:tmpl w:val="E230ECC0"/>
    <w:lvl w:ilvl="0" w:tplc="D752EF6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0F283E"/>
    <w:rsid w:val="00102B6B"/>
    <w:rsid w:val="001052D4"/>
    <w:rsid w:val="0010644B"/>
    <w:rsid w:val="001207F8"/>
    <w:rsid w:val="00121924"/>
    <w:rsid w:val="001279A8"/>
    <w:rsid w:val="0014195F"/>
    <w:rsid w:val="00152609"/>
    <w:rsid w:val="00153E1B"/>
    <w:rsid w:val="001663E3"/>
    <w:rsid w:val="001A0623"/>
    <w:rsid w:val="001C23B0"/>
    <w:rsid w:val="001C69A3"/>
    <w:rsid w:val="001D7AAF"/>
    <w:rsid w:val="00202B28"/>
    <w:rsid w:val="00203A7F"/>
    <w:rsid w:val="0021633A"/>
    <w:rsid w:val="002200A1"/>
    <w:rsid w:val="00220EEE"/>
    <w:rsid w:val="002362BF"/>
    <w:rsid w:val="00241B97"/>
    <w:rsid w:val="002425D1"/>
    <w:rsid w:val="00246756"/>
    <w:rsid w:val="00251E58"/>
    <w:rsid w:val="00254605"/>
    <w:rsid w:val="00266D86"/>
    <w:rsid w:val="002728B4"/>
    <w:rsid w:val="0027600C"/>
    <w:rsid w:val="00292712"/>
    <w:rsid w:val="002A487D"/>
    <w:rsid w:val="002A5156"/>
    <w:rsid w:val="002C1A85"/>
    <w:rsid w:val="002C2E29"/>
    <w:rsid w:val="002C3041"/>
    <w:rsid w:val="002D1EE3"/>
    <w:rsid w:val="002F1D80"/>
    <w:rsid w:val="003232A2"/>
    <w:rsid w:val="00325C14"/>
    <w:rsid w:val="00333F65"/>
    <w:rsid w:val="00345B5B"/>
    <w:rsid w:val="0036422C"/>
    <w:rsid w:val="003710F6"/>
    <w:rsid w:val="00386E88"/>
    <w:rsid w:val="00396585"/>
    <w:rsid w:val="003D6E38"/>
    <w:rsid w:val="003D74A0"/>
    <w:rsid w:val="004033D8"/>
    <w:rsid w:val="004073F0"/>
    <w:rsid w:val="00412A7D"/>
    <w:rsid w:val="00416B4D"/>
    <w:rsid w:val="00417CFC"/>
    <w:rsid w:val="00441CC4"/>
    <w:rsid w:val="0045371B"/>
    <w:rsid w:val="004A06DC"/>
    <w:rsid w:val="004B24ED"/>
    <w:rsid w:val="004B6625"/>
    <w:rsid w:val="004D2D82"/>
    <w:rsid w:val="004D3876"/>
    <w:rsid w:val="004E4552"/>
    <w:rsid w:val="004E6CDF"/>
    <w:rsid w:val="0051579C"/>
    <w:rsid w:val="00543A12"/>
    <w:rsid w:val="00553C9D"/>
    <w:rsid w:val="00562A66"/>
    <w:rsid w:val="005B064E"/>
    <w:rsid w:val="005D51AE"/>
    <w:rsid w:val="0062674B"/>
    <w:rsid w:val="006363B2"/>
    <w:rsid w:val="00644940"/>
    <w:rsid w:val="006818A9"/>
    <w:rsid w:val="006938E4"/>
    <w:rsid w:val="006A2D81"/>
    <w:rsid w:val="006C1657"/>
    <w:rsid w:val="006C1D0D"/>
    <w:rsid w:val="0070601E"/>
    <w:rsid w:val="00712C72"/>
    <w:rsid w:val="00735FE9"/>
    <w:rsid w:val="00763CAA"/>
    <w:rsid w:val="00765F66"/>
    <w:rsid w:val="00770B3B"/>
    <w:rsid w:val="0078664F"/>
    <w:rsid w:val="00797B14"/>
    <w:rsid w:val="007C3FA6"/>
    <w:rsid w:val="007D585A"/>
    <w:rsid w:val="007D5A12"/>
    <w:rsid w:val="007E59F9"/>
    <w:rsid w:val="007F7BCC"/>
    <w:rsid w:val="00810BCD"/>
    <w:rsid w:val="00812C98"/>
    <w:rsid w:val="00814D92"/>
    <w:rsid w:val="0083181D"/>
    <w:rsid w:val="00843EB2"/>
    <w:rsid w:val="00865572"/>
    <w:rsid w:val="00874BBC"/>
    <w:rsid w:val="00892135"/>
    <w:rsid w:val="00895449"/>
    <w:rsid w:val="00897879"/>
    <w:rsid w:val="008A6870"/>
    <w:rsid w:val="008C2DDC"/>
    <w:rsid w:val="008C7516"/>
    <w:rsid w:val="008E46A0"/>
    <w:rsid w:val="008E6EC7"/>
    <w:rsid w:val="008F0D63"/>
    <w:rsid w:val="008F1308"/>
    <w:rsid w:val="008F2C35"/>
    <w:rsid w:val="008F6665"/>
    <w:rsid w:val="008F78D5"/>
    <w:rsid w:val="00904591"/>
    <w:rsid w:val="00905E5F"/>
    <w:rsid w:val="00906DEC"/>
    <w:rsid w:val="0091153C"/>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1134"/>
    <w:rsid w:val="00A443CF"/>
    <w:rsid w:val="00A6611D"/>
    <w:rsid w:val="00A82CB7"/>
    <w:rsid w:val="00A942C1"/>
    <w:rsid w:val="00AA2F03"/>
    <w:rsid w:val="00AC36F7"/>
    <w:rsid w:val="00AC63A4"/>
    <w:rsid w:val="00AD239E"/>
    <w:rsid w:val="00AE7B44"/>
    <w:rsid w:val="00B10265"/>
    <w:rsid w:val="00B16A99"/>
    <w:rsid w:val="00B21211"/>
    <w:rsid w:val="00B35784"/>
    <w:rsid w:val="00B733A7"/>
    <w:rsid w:val="00B75C91"/>
    <w:rsid w:val="00B975AD"/>
    <w:rsid w:val="00BC45FB"/>
    <w:rsid w:val="00BF08BB"/>
    <w:rsid w:val="00BF148D"/>
    <w:rsid w:val="00C00988"/>
    <w:rsid w:val="00C23B1A"/>
    <w:rsid w:val="00C27475"/>
    <w:rsid w:val="00C310EB"/>
    <w:rsid w:val="00C9176A"/>
    <w:rsid w:val="00CF1AA2"/>
    <w:rsid w:val="00D17774"/>
    <w:rsid w:val="00D22C7B"/>
    <w:rsid w:val="00D25E97"/>
    <w:rsid w:val="00D63620"/>
    <w:rsid w:val="00D8410D"/>
    <w:rsid w:val="00D867D7"/>
    <w:rsid w:val="00D94C51"/>
    <w:rsid w:val="00DB7060"/>
    <w:rsid w:val="00DE3153"/>
    <w:rsid w:val="00DF35CF"/>
    <w:rsid w:val="00E06736"/>
    <w:rsid w:val="00E13C27"/>
    <w:rsid w:val="00E33BBD"/>
    <w:rsid w:val="00E374F2"/>
    <w:rsid w:val="00E45103"/>
    <w:rsid w:val="00E55A60"/>
    <w:rsid w:val="00E56110"/>
    <w:rsid w:val="00E62778"/>
    <w:rsid w:val="00E63D38"/>
    <w:rsid w:val="00E665B9"/>
    <w:rsid w:val="00EA01E6"/>
    <w:rsid w:val="00EA3DE8"/>
    <w:rsid w:val="00EA758F"/>
    <w:rsid w:val="00ED4A6F"/>
    <w:rsid w:val="00EF021A"/>
    <w:rsid w:val="00EF3A3A"/>
    <w:rsid w:val="00EF5063"/>
    <w:rsid w:val="00F25D8C"/>
    <w:rsid w:val="00F42BBB"/>
    <w:rsid w:val="00F628D6"/>
    <w:rsid w:val="00F67051"/>
    <w:rsid w:val="00F7684A"/>
    <w:rsid w:val="00F86A1E"/>
    <w:rsid w:val="00FA5E88"/>
    <w:rsid w:val="00FC4B02"/>
    <w:rsid w:val="00FF55FD"/>
    <w:rsid w:val="00FF73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EC"/>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906DEC"/>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906DEC"/>
    <w:rPr>
      <w:sz w:val="36"/>
      <w:szCs w:val="52"/>
    </w:rPr>
  </w:style>
  <w:style w:type="paragraph" w:customStyle="1" w:styleId="Cover3-Haknesset">
    <w:name w:val="Cover 3-Haknesset"/>
    <w:basedOn w:val="Cover1-Reshumot"/>
    <w:rsid w:val="00906DEC"/>
    <w:rPr>
      <w:b/>
      <w:bCs/>
      <w:spacing w:val="60"/>
    </w:rPr>
  </w:style>
  <w:style w:type="paragraph" w:customStyle="1" w:styleId="Cover4-Date">
    <w:name w:val="Cover 4-Date"/>
    <w:basedOn w:val="a"/>
    <w:rsid w:val="00906DEC"/>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906DEC"/>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906DEC"/>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906DEC"/>
    <w:pPr>
      <w:spacing w:before="120" w:after="120"/>
    </w:pPr>
    <w:rPr>
      <w:color w:val="FF0000"/>
      <w:w w:val="80"/>
    </w:rPr>
  </w:style>
  <w:style w:type="paragraph" w:styleId="a3">
    <w:name w:val="endnote text"/>
    <w:basedOn w:val="a"/>
    <w:link w:val="a4"/>
    <w:rsid w:val="00906DEC"/>
    <w:pPr>
      <w:ind w:left="227" w:hanging="227"/>
    </w:pPr>
    <w:rPr>
      <w:sz w:val="14"/>
      <w:szCs w:val="22"/>
    </w:rPr>
  </w:style>
  <w:style w:type="paragraph" w:customStyle="1" w:styleId="TableText">
    <w:name w:val="Table Text"/>
    <w:basedOn w:val="a"/>
    <w:rsid w:val="00906DEC"/>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906DEC"/>
  </w:style>
  <w:style w:type="paragraph" w:customStyle="1" w:styleId="TableBlock">
    <w:name w:val="Table Block"/>
    <w:basedOn w:val="TableText"/>
    <w:rsid w:val="00906DEC"/>
    <w:pPr>
      <w:ind w:right="0"/>
      <w:jc w:val="both"/>
    </w:pPr>
  </w:style>
  <w:style w:type="paragraph" w:customStyle="1" w:styleId="TableHead">
    <w:name w:val="Table Head"/>
    <w:basedOn w:val="TableText"/>
    <w:rsid w:val="00906DEC"/>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906DEC"/>
  </w:style>
  <w:style w:type="paragraph" w:customStyle="1" w:styleId="Hesber">
    <w:name w:val="Hesber"/>
    <w:basedOn w:val="a"/>
    <w:rsid w:val="00906DEC"/>
    <w:pPr>
      <w:snapToGrid w:val="0"/>
      <w:spacing w:before="0" w:line="360" w:lineRule="auto"/>
    </w:pPr>
    <w:rPr>
      <w:rFonts w:ascii="Arial" w:eastAsia="Arial Unicode MS" w:hAnsi="Arial" w:cs="David"/>
      <w:snapToGrid w:val="0"/>
      <w:spacing w:val="0"/>
      <w:sz w:val="20"/>
      <w:szCs w:val="26"/>
    </w:rPr>
  </w:style>
  <w:style w:type="paragraph" w:styleId="a5">
    <w:name w:val="footnote text"/>
    <w:basedOn w:val="a"/>
    <w:link w:val="a6"/>
    <w:autoRedefine/>
    <w:rsid w:val="00906DEC"/>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7">
    <w:name w:val="footnote reference"/>
    <w:aliases w:val="Footnote Reference"/>
    <w:basedOn w:val="a0"/>
    <w:rsid w:val="00906DEC"/>
    <w:rPr>
      <w:vertAlign w:val="superscript"/>
    </w:rPr>
  </w:style>
  <w:style w:type="paragraph" w:customStyle="1" w:styleId="HesberHeading">
    <w:name w:val="Hesber Heading"/>
    <w:basedOn w:val="Hesber"/>
    <w:rsid w:val="00906DEC"/>
    <w:pPr>
      <w:tabs>
        <w:tab w:val="left" w:pos="624"/>
        <w:tab w:val="left" w:pos="1247"/>
      </w:tabs>
      <w:ind w:firstLine="0"/>
    </w:pPr>
    <w:rPr>
      <w:b/>
      <w:bCs/>
    </w:rPr>
  </w:style>
  <w:style w:type="paragraph" w:customStyle="1" w:styleId="HesberWriters">
    <w:name w:val="Hesber Writers"/>
    <w:basedOn w:val="Hesber"/>
    <w:rsid w:val="00906DEC"/>
    <w:pPr>
      <w:spacing w:before="120" w:after="6000"/>
      <w:ind w:left="1418" w:firstLine="0"/>
      <w:jc w:val="right"/>
    </w:pPr>
    <w:rPr>
      <w:b/>
      <w:bCs/>
    </w:rPr>
  </w:style>
  <w:style w:type="paragraph" w:customStyle="1" w:styleId="Hesber1st">
    <w:name w:val="Hesber 1st"/>
    <w:basedOn w:val="Hesber"/>
    <w:rsid w:val="00906DEC"/>
    <w:pPr>
      <w:tabs>
        <w:tab w:val="left" w:pos="680"/>
        <w:tab w:val="left" w:pos="1020"/>
      </w:tabs>
      <w:ind w:firstLine="0"/>
    </w:pPr>
  </w:style>
  <w:style w:type="character" w:styleId="a8">
    <w:name w:val="endnote reference"/>
    <w:basedOn w:val="a0"/>
    <w:semiHidden/>
    <w:rsid w:val="00906DEC"/>
    <w:rPr>
      <w:vertAlign w:val="superscript"/>
    </w:rPr>
  </w:style>
  <w:style w:type="paragraph" w:customStyle="1" w:styleId="TableBlockOutdent">
    <w:name w:val="Table BlockOutdent"/>
    <w:basedOn w:val="TableBlock"/>
    <w:rsid w:val="00906DEC"/>
    <w:pPr>
      <w:ind w:left="624" w:hanging="624"/>
    </w:pPr>
  </w:style>
  <w:style w:type="paragraph" w:styleId="a9">
    <w:name w:val="header"/>
    <w:basedOn w:val="a"/>
    <w:rsid w:val="00906DEC"/>
    <w:pPr>
      <w:tabs>
        <w:tab w:val="center" w:pos="4153"/>
        <w:tab w:val="right" w:pos="8306"/>
      </w:tabs>
    </w:pPr>
  </w:style>
  <w:style w:type="paragraph" w:styleId="aa">
    <w:name w:val="footer"/>
    <w:basedOn w:val="a"/>
    <w:rsid w:val="00906DEC"/>
    <w:pPr>
      <w:tabs>
        <w:tab w:val="center" w:pos="4153"/>
        <w:tab w:val="right" w:pos="8306"/>
      </w:tabs>
    </w:pPr>
  </w:style>
  <w:style w:type="paragraph" w:customStyle="1" w:styleId="HeadDivreiHesber">
    <w:name w:val="Head DivreiHesber"/>
    <w:basedOn w:val="a"/>
    <w:rsid w:val="00906DEC"/>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906DEC"/>
    <w:pPr>
      <w:snapToGrid w:val="0"/>
      <w:spacing w:before="0" w:line="360" w:lineRule="auto"/>
      <w:jc w:val="left"/>
    </w:pPr>
    <w:rPr>
      <w:rFonts w:ascii="Arial" w:eastAsia="Arial Unicode MS" w:hAnsi="Arial" w:cs="David"/>
      <w:snapToGrid w:val="0"/>
      <w:spacing w:val="0"/>
      <w:sz w:val="20"/>
      <w:szCs w:val="26"/>
    </w:rPr>
  </w:style>
  <w:style w:type="paragraph" w:styleId="ab">
    <w:name w:val="Title"/>
    <w:basedOn w:val="a"/>
    <w:qFormat/>
    <w:rsid w:val="00943386"/>
    <w:pPr>
      <w:jc w:val="center"/>
    </w:pPr>
    <w:rPr>
      <w:rFonts w:cs="David"/>
      <w:b/>
      <w:bCs/>
      <w:sz w:val="28"/>
      <w:szCs w:val="28"/>
      <w:u w:val="single"/>
    </w:rPr>
  </w:style>
  <w:style w:type="character" w:styleId="ac">
    <w:name w:val="page number"/>
    <w:basedOn w:val="a0"/>
    <w:rsid w:val="00906DEC"/>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d">
    <w:name w:val="Balloon Text"/>
    <w:basedOn w:val="a"/>
    <w:link w:val="ae"/>
    <w:semiHidden/>
    <w:unhideWhenUsed/>
    <w:rsid w:val="00325C14"/>
    <w:pPr>
      <w:spacing w:before="0" w:line="240" w:lineRule="auto"/>
    </w:pPr>
    <w:rPr>
      <w:rFonts w:ascii="Tahoma" w:hAnsi="Tahoma" w:cs="Tahoma"/>
      <w:sz w:val="16"/>
      <w:szCs w:val="16"/>
    </w:rPr>
  </w:style>
  <w:style w:type="character" w:customStyle="1" w:styleId="ae">
    <w:name w:val="טקסט בלונים תו"/>
    <w:basedOn w:val="a0"/>
    <w:link w:val="ad"/>
    <w:semiHidden/>
    <w:rsid w:val="00325C14"/>
    <w:rPr>
      <w:rFonts w:ascii="Tahoma" w:hAnsi="Tahoma" w:cs="Tahoma"/>
      <w:color w:val="000000"/>
      <w:spacing w:val="1"/>
      <w:sz w:val="16"/>
      <w:szCs w:val="16"/>
      <w:lang w:eastAsia="ja-JP"/>
    </w:rPr>
  </w:style>
  <w:style w:type="character" w:customStyle="1" w:styleId="a6">
    <w:name w:val="טקסט הערת שוליים תו"/>
    <w:basedOn w:val="a0"/>
    <w:link w:val="a5"/>
    <w:rsid w:val="00C00988"/>
    <w:rPr>
      <w:rFonts w:ascii="Arial" w:eastAsia="Arial Unicode MS" w:hAnsi="Arial" w:cs="David"/>
      <w:snapToGrid w:val="0"/>
      <w:color w:val="000000"/>
      <w:sz w:val="14"/>
      <w:lang w:eastAsia="ja-JP"/>
    </w:rPr>
  </w:style>
  <w:style w:type="character" w:customStyle="1" w:styleId="a4">
    <w:name w:val="טקסט הערת סיום תו"/>
    <w:basedOn w:val="a0"/>
    <w:link w:val="a3"/>
    <w:rsid w:val="00C00988"/>
    <w:rPr>
      <w:rFonts w:ascii="Hadasa Roso SL" w:hAnsi="Hadasa Roso SL" w:cs="Hadasa Roso SL"/>
      <w:color w:val="000000"/>
      <w:spacing w:val="1"/>
      <w:sz w:val="14"/>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EC"/>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906DEC"/>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906DEC"/>
    <w:rPr>
      <w:sz w:val="36"/>
      <w:szCs w:val="52"/>
    </w:rPr>
  </w:style>
  <w:style w:type="paragraph" w:customStyle="1" w:styleId="Cover3-Haknesset">
    <w:name w:val="Cover 3-Haknesset"/>
    <w:basedOn w:val="Cover1-Reshumot"/>
    <w:rsid w:val="00906DEC"/>
    <w:rPr>
      <w:b/>
      <w:bCs/>
      <w:spacing w:val="60"/>
    </w:rPr>
  </w:style>
  <w:style w:type="paragraph" w:customStyle="1" w:styleId="Cover4-Date">
    <w:name w:val="Cover 4-Date"/>
    <w:basedOn w:val="a"/>
    <w:rsid w:val="00906DEC"/>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906DEC"/>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906DEC"/>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906DEC"/>
    <w:pPr>
      <w:spacing w:before="120" w:after="120"/>
    </w:pPr>
    <w:rPr>
      <w:color w:val="FF0000"/>
      <w:w w:val="80"/>
    </w:rPr>
  </w:style>
  <w:style w:type="paragraph" w:styleId="a3">
    <w:name w:val="endnote text"/>
    <w:basedOn w:val="a"/>
    <w:link w:val="a4"/>
    <w:rsid w:val="00906DEC"/>
    <w:pPr>
      <w:ind w:left="227" w:hanging="227"/>
    </w:pPr>
    <w:rPr>
      <w:sz w:val="14"/>
      <w:szCs w:val="22"/>
    </w:rPr>
  </w:style>
  <w:style w:type="paragraph" w:customStyle="1" w:styleId="TableText">
    <w:name w:val="Table Text"/>
    <w:basedOn w:val="a"/>
    <w:rsid w:val="00906DEC"/>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906DEC"/>
  </w:style>
  <w:style w:type="paragraph" w:customStyle="1" w:styleId="TableBlock">
    <w:name w:val="Table Block"/>
    <w:basedOn w:val="TableText"/>
    <w:rsid w:val="00906DEC"/>
    <w:pPr>
      <w:ind w:right="0"/>
      <w:jc w:val="both"/>
    </w:pPr>
  </w:style>
  <w:style w:type="paragraph" w:customStyle="1" w:styleId="TableHead">
    <w:name w:val="Table Head"/>
    <w:basedOn w:val="TableText"/>
    <w:rsid w:val="00906DEC"/>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906DEC"/>
  </w:style>
  <w:style w:type="paragraph" w:customStyle="1" w:styleId="Hesber">
    <w:name w:val="Hesber"/>
    <w:basedOn w:val="a"/>
    <w:rsid w:val="00906DEC"/>
    <w:pPr>
      <w:snapToGrid w:val="0"/>
      <w:spacing w:before="0" w:line="360" w:lineRule="auto"/>
    </w:pPr>
    <w:rPr>
      <w:rFonts w:ascii="Arial" w:eastAsia="Arial Unicode MS" w:hAnsi="Arial" w:cs="David"/>
      <w:snapToGrid w:val="0"/>
      <w:spacing w:val="0"/>
      <w:sz w:val="20"/>
      <w:szCs w:val="26"/>
    </w:rPr>
  </w:style>
  <w:style w:type="paragraph" w:styleId="a5">
    <w:name w:val="footnote text"/>
    <w:basedOn w:val="a"/>
    <w:link w:val="a6"/>
    <w:autoRedefine/>
    <w:rsid w:val="00906DEC"/>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7">
    <w:name w:val="footnote reference"/>
    <w:aliases w:val="Footnote Reference"/>
    <w:basedOn w:val="a0"/>
    <w:rsid w:val="00906DEC"/>
    <w:rPr>
      <w:vertAlign w:val="superscript"/>
    </w:rPr>
  </w:style>
  <w:style w:type="paragraph" w:customStyle="1" w:styleId="HesberHeading">
    <w:name w:val="Hesber Heading"/>
    <w:basedOn w:val="Hesber"/>
    <w:rsid w:val="00906DEC"/>
    <w:pPr>
      <w:tabs>
        <w:tab w:val="left" w:pos="624"/>
        <w:tab w:val="left" w:pos="1247"/>
      </w:tabs>
      <w:ind w:firstLine="0"/>
    </w:pPr>
    <w:rPr>
      <w:b/>
      <w:bCs/>
    </w:rPr>
  </w:style>
  <w:style w:type="paragraph" w:customStyle="1" w:styleId="HesberWriters">
    <w:name w:val="Hesber Writers"/>
    <w:basedOn w:val="Hesber"/>
    <w:rsid w:val="00906DEC"/>
    <w:pPr>
      <w:spacing w:before="120" w:after="6000"/>
      <w:ind w:left="1418" w:firstLine="0"/>
      <w:jc w:val="right"/>
    </w:pPr>
    <w:rPr>
      <w:b/>
      <w:bCs/>
    </w:rPr>
  </w:style>
  <w:style w:type="paragraph" w:customStyle="1" w:styleId="Hesber1st">
    <w:name w:val="Hesber 1st"/>
    <w:basedOn w:val="Hesber"/>
    <w:rsid w:val="00906DEC"/>
    <w:pPr>
      <w:tabs>
        <w:tab w:val="left" w:pos="680"/>
        <w:tab w:val="left" w:pos="1020"/>
      </w:tabs>
      <w:ind w:firstLine="0"/>
    </w:pPr>
  </w:style>
  <w:style w:type="character" w:styleId="a8">
    <w:name w:val="endnote reference"/>
    <w:basedOn w:val="a0"/>
    <w:semiHidden/>
    <w:rsid w:val="00906DEC"/>
    <w:rPr>
      <w:vertAlign w:val="superscript"/>
    </w:rPr>
  </w:style>
  <w:style w:type="paragraph" w:customStyle="1" w:styleId="TableBlockOutdent">
    <w:name w:val="Table BlockOutdent"/>
    <w:basedOn w:val="TableBlock"/>
    <w:rsid w:val="00906DEC"/>
    <w:pPr>
      <w:ind w:left="624" w:hanging="624"/>
    </w:pPr>
  </w:style>
  <w:style w:type="paragraph" w:styleId="a9">
    <w:name w:val="header"/>
    <w:basedOn w:val="a"/>
    <w:rsid w:val="00906DEC"/>
    <w:pPr>
      <w:tabs>
        <w:tab w:val="center" w:pos="4153"/>
        <w:tab w:val="right" w:pos="8306"/>
      </w:tabs>
    </w:pPr>
  </w:style>
  <w:style w:type="paragraph" w:styleId="aa">
    <w:name w:val="footer"/>
    <w:basedOn w:val="a"/>
    <w:rsid w:val="00906DEC"/>
    <w:pPr>
      <w:tabs>
        <w:tab w:val="center" w:pos="4153"/>
        <w:tab w:val="right" w:pos="8306"/>
      </w:tabs>
    </w:pPr>
  </w:style>
  <w:style w:type="paragraph" w:customStyle="1" w:styleId="HeadDivreiHesber">
    <w:name w:val="Head DivreiHesber"/>
    <w:basedOn w:val="a"/>
    <w:rsid w:val="00906DEC"/>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906DEC"/>
    <w:pPr>
      <w:snapToGrid w:val="0"/>
      <w:spacing w:before="0" w:line="360" w:lineRule="auto"/>
      <w:jc w:val="left"/>
    </w:pPr>
    <w:rPr>
      <w:rFonts w:ascii="Arial" w:eastAsia="Arial Unicode MS" w:hAnsi="Arial" w:cs="David"/>
      <w:snapToGrid w:val="0"/>
      <w:spacing w:val="0"/>
      <w:sz w:val="20"/>
      <w:szCs w:val="26"/>
    </w:rPr>
  </w:style>
  <w:style w:type="paragraph" w:styleId="ab">
    <w:name w:val="Title"/>
    <w:basedOn w:val="a"/>
    <w:qFormat/>
    <w:rsid w:val="00943386"/>
    <w:pPr>
      <w:jc w:val="center"/>
    </w:pPr>
    <w:rPr>
      <w:rFonts w:cs="David"/>
      <w:b/>
      <w:bCs/>
      <w:sz w:val="28"/>
      <w:szCs w:val="28"/>
      <w:u w:val="single"/>
    </w:rPr>
  </w:style>
  <w:style w:type="character" w:styleId="ac">
    <w:name w:val="page number"/>
    <w:basedOn w:val="a0"/>
    <w:rsid w:val="00906DEC"/>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d">
    <w:name w:val="Balloon Text"/>
    <w:basedOn w:val="a"/>
    <w:link w:val="ae"/>
    <w:semiHidden/>
    <w:unhideWhenUsed/>
    <w:rsid w:val="00325C14"/>
    <w:pPr>
      <w:spacing w:before="0" w:line="240" w:lineRule="auto"/>
    </w:pPr>
    <w:rPr>
      <w:rFonts w:ascii="Tahoma" w:hAnsi="Tahoma" w:cs="Tahoma"/>
      <w:sz w:val="16"/>
      <w:szCs w:val="16"/>
    </w:rPr>
  </w:style>
  <w:style w:type="character" w:customStyle="1" w:styleId="ae">
    <w:name w:val="טקסט בלונים תו"/>
    <w:basedOn w:val="a0"/>
    <w:link w:val="ad"/>
    <w:semiHidden/>
    <w:rsid w:val="00325C14"/>
    <w:rPr>
      <w:rFonts w:ascii="Tahoma" w:hAnsi="Tahoma" w:cs="Tahoma"/>
      <w:color w:val="000000"/>
      <w:spacing w:val="1"/>
      <w:sz w:val="16"/>
      <w:szCs w:val="16"/>
      <w:lang w:eastAsia="ja-JP"/>
    </w:rPr>
  </w:style>
  <w:style w:type="character" w:customStyle="1" w:styleId="a6">
    <w:name w:val="טקסט הערת שוליים תו"/>
    <w:basedOn w:val="a0"/>
    <w:link w:val="a5"/>
    <w:rsid w:val="00C00988"/>
    <w:rPr>
      <w:rFonts w:ascii="Arial" w:eastAsia="Arial Unicode MS" w:hAnsi="Arial" w:cs="David"/>
      <w:snapToGrid w:val="0"/>
      <w:color w:val="000000"/>
      <w:sz w:val="14"/>
      <w:lang w:eastAsia="ja-JP"/>
    </w:rPr>
  </w:style>
  <w:style w:type="character" w:customStyle="1" w:styleId="a4">
    <w:name w:val="טקסט הערת סיום תו"/>
    <w:basedOn w:val="a0"/>
    <w:link w:val="a3"/>
    <w:rsid w:val="00C00988"/>
    <w:rPr>
      <w:rFonts w:ascii="Hadasa Roso SL" w:hAnsi="Hadasa Roso SL" w:cs="Hadasa Roso SL"/>
      <w:color w:val="000000"/>
      <w:spacing w:val="1"/>
      <w:sz w:val="14"/>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7135E-989E-429A-9C13-0D2F10FCF820}"/>
</file>

<file path=customXml/itemProps2.xml><?xml version="1.0" encoding="utf-8"?>
<ds:datastoreItem xmlns:ds="http://schemas.openxmlformats.org/officeDocument/2006/customXml" ds:itemID="{53CDC32B-DD97-493E-9196-3EF77D6F9C7D}"/>
</file>

<file path=customXml/itemProps3.xml><?xml version="1.0" encoding="utf-8"?>
<ds:datastoreItem xmlns:ds="http://schemas.openxmlformats.org/officeDocument/2006/customXml" ds:itemID="{88F4AFE3-9455-419C-8851-785A55F44517}"/>
</file>

<file path=customXml/itemProps4.xml><?xml version="1.0" encoding="utf-8"?>
<ds:datastoreItem xmlns:ds="http://schemas.openxmlformats.org/officeDocument/2006/customXml" ds:itemID="{E960896D-3817-46A4-BD3D-B1CEDBDFF55F}"/>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2616</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כוכי שבתאי</cp:lastModifiedBy>
  <cp:revision>2</cp:revision>
  <cp:lastPrinted>2016-02-17T10:07:00Z</cp:lastPrinted>
  <dcterms:created xsi:type="dcterms:W3CDTF">2016-05-19T09:25:00Z</dcterms:created>
  <dcterms:modified xsi:type="dcterms:W3CDTF">2016-05-19T09:25:00Z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0x010100F931E205BBB08441AEFFEBF8ABB23DF1</vt:lpwstr>
  </property>
  <property fmtid="{D5CDD505-2E9C-101B-9397-08002B2CF9AE}" pid="3" name="_dlc_DocIdItemGuid">
    <vt:lpwstr>8badafff-95aa-4718-b074-a2d35988ffa8</vt:lpwstr>
  </property>
  <property fmtid="{D5CDD505-2E9C-101B-9397-08002B2CF9AE}" pid="4" name="SanhedrinDocumentType">
    <vt:r8>88</vt:r8>
  </property>
  <property fmtid="{D5CDD505-2E9C-101B-9397-08002B2CF9AE}" pid="5" name="SanhedrinItemID">
    <vt:r8>2002604</vt:r8>
  </property>
</Properties>
</file>