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35" w:rsidRPr="00FE0122" w:rsidRDefault="00F81635" w:rsidP="00F81635">
      <w:pPr>
        <w:pStyle w:val="HeadHatzaotHok"/>
        <w:jc w:val="right"/>
        <w:rPr>
          <w:b w:val="0"/>
          <w:bCs w:val="0"/>
          <w:szCs w:val="20"/>
        </w:rPr>
      </w:pPr>
      <w:r w:rsidRPr="00FE0122">
        <w:rPr>
          <w:rFonts w:hint="cs"/>
          <w:b w:val="0"/>
          <w:bCs w:val="0"/>
          <w:szCs w:val="20"/>
          <w:rtl/>
        </w:rPr>
        <w:t xml:space="preserve">מספר פנימי: </w:t>
      </w:r>
      <w:bookmarkStart w:id="0" w:name="ItemID"/>
      <w:r w:rsidRPr="00FE0122">
        <w:rPr>
          <w:rFonts w:hint="cs"/>
          <w:b w:val="0"/>
          <w:bCs w:val="0"/>
          <w:szCs w:val="20"/>
          <w:rtl/>
        </w:rPr>
        <w:t>559334</w:t>
      </w:r>
      <w:bookmarkEnd w:id="0"/>
    </w:p>
    <w:p w:rsidR="00F81635" w:rsidRDefault="00F81635" w:rsidP="00F81635">
      <w:pPr>
        <w:pStyle w:val="HeadHatzaotHok"/>
        <w:rPr>
          <w:sz w:val="28"/>
          <w:szCs w:val="28"/>
        </w:rPr>
      </w:pPr>
      <w:r>
        <w:rPr>
          <w:rFonts w:hint="cs"/>
          <w:sz w:val="28"/>
          <w:szCs w:val="28"/>
          <w:rtl/>
        </w:rPr>
        <w:t xml:space="preserve">הכנסת </w:t>
      </w:r>
      <w:bookmarkStart w:id="1" w:name="KnessetNum"/>
      <w:r>
        <w:rPr>
          <w:rFonts w:hint="cs"/>
          <w:sz w:val="28"/>
          <w:szCs w:val="28"/>
          <w:rtl/>
        </w:rPr>
        <w:t>התשע-עשרה</w:t>
      </w:r>
      <w:bookmarkEnd w:id="1"/>
    </w:p>
    <w:p w:rsidR="00F81635" w:rsidRDefault="00F81635" w:rsidP="00F81635">
      <w:pPr>
        <w:rPr>
          <w:rFonts w:cs="David"/>
          <w:sz w:val="26"/>
          <w:szCs w:val="26"/>
          <w:rtl/>
        </w:rPr>
      </w:pPr>
    </w:p>
    <w:p w:rsidR="00F81635" w:rsidRDefault="00F81635" w:rsidP="00F81635">
      <w:pPr>
        <w:pStyle w:val="David"/>
        <w:ind w:left="2880" w:firstLine="663"/>
        <w:rPr>
          <w:b/>
          <w:bCs/>
          <w:rtl/>
        </w:rPr>
      </w:pPr>
      <w:bookmarkStart w:id="2" w:name="MKsSingleOrMulti"/>
      <w:r>
        <w:rPr>
          <w:rFonts w:hint="cs"/>
          <w:b/>
          <w:bCs/>
          <w:rtl/>
        </w:rPr>
        <w:t>יוזמים:      חברי הכנסת</w:t>
      </w:r>
      <w:bookmarkEnd w:id="2"/>
      <w:r>
        <w:tab/>
      </w:r>
      <w:bookmarkStart w:id="3" w:name="MKs"/>
      <w:r>
        <w:rPr>
          <w:rFonts w:hint="cs"/>
          <w:b/>
          <w:bCs/>
          <w:rtl/>
        </w:rPr>
        <w:t>מוחמד ברכה</w:t>
      </w:r>
    </w:p>
    <w:p w:rsidR="00F81635" w:rsidRDefault="00F81635" w:rsidP="00F81635">
      <w:pPr>
        <w:pStyle w:val="David"/>
        <w:ind w:left="2880" w:firstLine="663"/>
        <w:rPr>
          <w:b/>
          <w:bCs/>
          <w:rtl/>
        </w:rPr>
      </w:pPr>
      <w:r>
        <w:rPr>
          <w:rFonts w:hint="cs"/>
          <w:b/>
          <w:bCs/>
          <w:rtl/>
        </w:rPr>
        <w:tab/>
      </w:r>
      <w:r>
        <w:rPr>
          <w:rFonts w:hint="cs"/>
          <w:b/>
          <w:bCs/>
          <w:rtl/>
        </w:rPr>
        <w:tab/>
      </w:r>
      <w:r>
        <w:rPr>
          <w:rFonts w:hint="cs"/>
          <w:b/>
          <w:bCs/>
          <w:rtl/>
        </w:rPr>
        <w:tab/>
      </w:r>
      <w:r>
        <w:rPr>
          <w:rFonts w:hint="cs"/>
          <w:b/>
          <w:bCs/>
          <w:rtl/>
        </w:rPr>
        <w:tab/>
      </w:r>
      <w:r>
        <w:rPr>
          <w:rFonts w:hint="cs"/>
          <w:b/>
          <w:bCs/>
          <w:rtl/>
        </w:rPr>
        <w:tab/>
      </w:r>
      <w:proofErr w:type="spellStart"/>
      <w:r>
        <w:rPr>
          <w:rFonts w:hint="cs"/>
          <w:b/>
          <w:bCs/>
          <w:rtl/>
        </w:rPr>
        <w:t>חנא</w:t>
      </w:r>
      <w:proofErr w:type="spellEnd"/>
      <w:r>
        <w:rPr>
          <w:rFonts w:hint="cs"/>
          <w:b/>
          <w:bCs/>
          <w:rtl/>
        </w:rPr>
        <w:t xml:space="preserve"> </w:t>
      </w:r>
      <w:proofErr w:type="spellStart"/>
      <w:r>
        <w:rPr>
          <w:rFonts w:hint="cs"/>
          <w:b/>
          <w:bCs/>
          <w:rtl/>
        </w:rPr>
        <w:t>סוייד</w:t>
      </w:r>
      <w:proofErr w:type="spellEnd"/>
    </w:p>
    <w:p w:rsidR="00F81635" w:rsidRDefault="00F81635" w:rsidP="00F81635">
      <w:pPr>
        <w:pStyle w:val="David"/>
        <w:ind w:left="2880" w:firstLine="663"/>
        <w:rPr>
          <w:b/>
          <w:bCs/>
          <w:rtl/>
        </w:rPr>
      </w:pPr>
      <w:r>
        <w:rPr>
          <w:rFonts w:hint="cs"/>
          <w:b/>
          <w:bCs/>
          <w:rtl/>
        </w:rPr>
        <w:tab/>
      </w:r>
      <w:r>
        <w:rPr>
          <w:rFonts w:hint="cs"/>
          <w:b/>
          <w:bCs/>
          <w:rtl/>
        </w:rPr>
        <w:tab/>
      </w:r>
      <w:r>
        <w:rPr>
          <w:rFonts w:hint="cs"/>
          <w:b/>
          <w:bCs/>
          <w:rtl/>
        </w:rPr>
        <w:tab/>
      </w:r>
      <w:r>
        <w:rPr>
          <w:rFonts w:hint="cs"/>
          <w:b/>
          <w:bCs/>
          <w:rtl/>
        </w:rPr>
        <w:tab/>
      </w:r>
      <w:r>
        <w:rPr>
          <w:rFonts w:hint="cs"/>
          <w:b/>
          <w:bCs/>
          <w:rtl/>
        </w:rPr>
        <w:tab/>
        <w:t>דב חנין</w:t>
      </w:r>
    </w:p>
    <w:p w:rsidR="00F81635" w:rsidRDefault="00F81635" w:rsidP="00F81635">
      <w:pPr>
        <w:pStyle w:val="David"/>
        <w:ind w:left="2880" w:firstLine="663"/>
        <w:rPr>
          <w:b/>
          <w:bCs/>
          <w:rtl/>
        </w:rPr>
      </w:pPr>
      <w:r>
        <w:rPr>
          <w:rFonts w:hint="cs"/>
          <w:b/>
          <w:bCs/>
          <w:rtl/>
        </w:rPr>
        <w:tab/>
      </w:r>
      <w:r>
        <w:rPr>
          <w:rFonts w:hint="cs"/>
          <w:b/>
          <w:bCs/>
          <w:rtl/>
        </w:rPr>
        <w:tab/>
      </w:r>
      <w:r>
        <w:rPr>
          <w:rFonts w:hint="cs"/>
          <w:b/>
          <w:bCs/>
          <w:rtl/>
        </w:rPr>
        <w:tab/>
      </w:r>
      <w:r>
        <w:rPr>
          <w:rFonts w:hint="cs"/>
          <w:b/>
          <w:bCs/>
          <w:rtl/>
        </w:rPr>
        <w:tab/>
      </w:r>
      <w:r>
        <w:rPr>
          <w:rFonts w:hint="cs"/>
          <w:b/>
          <w:bCs/>
          <w:rtl/>
        </w:rPr>
        <w:tab/>
        <w:t xml:space="preserve">עפו </w:t>
      </w:r>
      <w:proofErr w:type="spellStart"/>
      <w:r>
        <w:rPr>
          <w:rFonts w:hint="cs"/>
          <w:b/>
          <w:bCs/>
          <w:rtl/>
        </w:rPr>
        <w:t>אגבאריה</w:t>
      </w:r>
      <w:bookmarkEnd w:id="3"/>
      <w:proofErr w:type="spellEnd"/>
    </w:p>
    <w:p w:rsidR="00F81635" w:rsidRDefault="00FE0122" w:rsidP="00F81635">
      <w:pPr>
        <w:ind w:firstLine="3543"/>
        <w:rPr>
          <w:rFonts w:cs="David"/>
          <w:sz w:val="26"/>
          <w:szCs w:val="26"/>
          <w:rtl/>
        </w:rPr>
      </w:pPr>
      <w:r>
        <w:rPr>
          <w:rFonts w:hint="cs"/>
          <w:noProof/>
          <w:rtl/>
          <w:lang w:eastAsia="en-US"/>
        </w:rPr>
        <mc:AlternateContent>
          <mc:Choice Requires="wps">
            <w:drawing>
              <wp:anchor distT="0" distB="0" distL="114300" distR="114300" simplePos="0" relativeHeight="251658240" behindDoc="0" locked="0" layoutInCell="1" allowOverlap="1" wp14:anchorId="0A484A87" wp14:editId="125FE068">
                <wp:simplePos x="0" y="0"/>
                <wp:positionH relativeFrom="column">
                  <wp:posOffset>1270</wp:posOffset>
                </wp:positionH>
                <wp:positionV relativeFrom="paragraph">
                  <wp:posOffset>191770</wp:posOffset>
                </wp:positionV>
                <wp:extent cx="3879215" cy="17145"/>
                <wp:effectExtent l="0" t="0" r="26035" b="20955"/>
                <wp:wrapNone/>
                <wp:docPr id="4" name="צורה חופשית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צורה חופשית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16.45pt,305.55pt,15.1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" filled="f">
                <v:path arrowok="t" o:connecttype="custom" o:connectlocs="0,17145;3879215,0" o:connectangles="0,0"/>
              </v:polyline>
            </w:pict>
          </mc:Fallback>
        </mc:AlternateContent>
      </w:r>
      <w:r w:rsidR="00F81635">
        <w:rPr>
          <w:rFonts w:hint="cs"/>
          <w:noProof/>
          <w:rtl/>
          <w:lang w:eastAsia="en-US"/>
        </w:rPr>
        <mc:AlternateContent>
          <mc:Choice Requires="wps">
            <w:drawing>
              <wp:anchor distT="0" distB="0" distL="114300" distR="114300" simplePos="0" relativeHeight="251657216" behindDoc="0" locked="0" layoutInCell="1" allowOverlap="1" wp14:anchorId="411D77F7" wp14:editId="22900624">
                <wp:simplePos x="0" y="0"/>
                <wp:positionH relativeFrom="column">
                  <wp:posOffset>1270</wp:posOffset>
                </wp:positionH>
                <wp:positionV relativeFrom="paragraph">
                  <wp:posOffset>48895</wp:posOffset>
                </wp:positionV>
                <wp:extent cx="3869690" cy="15875"/>
                <wp:effectExtent l="0" t="38100" r="0" b="41275"/>
                <wp:wrapNone/>
                <wp:docPr id="5" name="צורה חופשית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צורה חופשית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" filled="f" stroked="f">
                <v:path arrowok="t" o:connecttype="custom" o:connectlocs="0,15875;3869690,0" o:connectangles="0,0"/>
              </v:polyline>
            </w:pict>
          </mc:Fallback>
        </mc:AlternateContent>
      </w:r>
      <w:bookmarkStart w:id="4" w:name="MKsSingleOrMulti1"/>
      <w:bookmarkEnd w:id="4"/>
      <w:r w:rsidR="00F81635">
        <w:rPr>
          <w:rFonts w:cs="David" w:hint="cs"/>
          <w:sz w:val="26"/>
          <w:szCs w:val="26"/>
          <w:rtl/>
        </w:rPr>
        <w:tab/>
      </w:r>
      <w:bookmarkStart w:id="5" w:name="MKs1"/>
      <w:bookmarkEnd w:id="5"/>
    </w:p>
    <w:p w:rsidR="00F81635" w:rsidRDefault="00FE0122" w:rsidP="00F81635">
      <w:pPr>
        <w:spacing w:before="0"/>
        <w:ind w:left="2919" w:firstLine="720"/>
        <w:rPr>
          <w:rFonts w:cs="David"/>
          <w:sz w:val="26"/>
          <w:szCs w:val="26"/>
          <w:rtl/>
        </w:rPr>
      </w:pPr>
      <w:r>
        <w:rPr>
          <w:rFonts w:cs="David" w:hint="cs"/>
          <w:sz w:val="26"/>
          <w:szCs w:val="26"/>
          <w:rtl/>
        </w:rPr>
        <w:tab/>
      </w:r>
      <w:r>
        <w:rPr>
          <w:rFonts w:cs="David" w:hint="cs"/>
          <w:sz w:val="26"/>
          <w:szCs w:val="26"/>
          <w:rtl/>
        </w:rPr>
        <w:tab/>
      </w:r>
      <w:r>
        <w:rPr>
          <w:rFonts w:cs="David" w:hint="cs"/>
          <w:sz w:val="26"/>
          <w:szCs w:val="26"/>
          <w:rtl/>
        </w:rPr>
        <w:tab/>
      </w:r>
      <w:r>
        <w:rPr>
          <w:rFonts w:cs="David" w:hint="cs"/>
          <w:sz w:val="26"/>
          <w:szCs w:val="26"/>
          <w:rtl/>
        </w:rPr>
        <w:tab/>
        <w:t>פ/2913/19</w:t>
      </w:r>
      <w:r w:rsidR="00F81635">
        <w:rPr>
          <w:rFonts w:cs="David" w:hint="cs"/>
          <w:sz w:val="26"/>
          <w:szCs w:val="26"/>
          <w:rtl/>
        </w:rPr>
        <w:tab/>
      </w:r>
      <w:r w:rsidR="00F81635">
        <w:rPr>
          <w:rFonts w:cs="David" w:hint="cs"/>
          <w:sz w:val="26"/>
          <w:szCs w:val="26"/>
          <w:rtl/>
        </w:rPr>
        <w:tab/>
      </w:r>
      <w:r w:rsidR="00F81635">
        <w:rPr>
          <w:rFonts w:cs="David" w:hint="cs"/>
          <w:sz w:val="26"/>
          <w:szCs w:val="26"/>
          <w:rtl/>
        </w:rPr>
        <w:tab/>
      </w:r>
      <w:r w:rsidR="00F81635">
        <w:rPr>
          <w:rFonts w:cs="David" w:hint="cs"/>
          <w:sz w:val="26"/>
          <w:szCs w:val="26"/>
          <w:rtl/>
        </w:rPr>
        <w:tab/>
      </w:r>
      <w:r w:rsidR="00F81635">
        <w:rPr>
          <w:rFonts w:cs="David" w:hint="cs"/>
          <w:sz w:val="26"/>
          <w:szCs w:val="26"/>
          <w:rtl/>
        </w:rPr>
        <w:tab/>
      </w:r>
      <w:r w:rsidR="00F81635">
        <w:rPr>
          <w:rFonts w:cs="David" w:hint="cs"/>
          <w:sz w:val="26"/>
          <w:szCs w:val="26"/>
          <w:rtl/>
        </w:rPr>
        <w:tab/>
      </w:r>
      <w:r w:rsidR="00F81635">
        <w:rPr>
          <w:rFonts w:cs="David" w:hint="cs"/>
          <w:sz w:val="26"/>
          <w:szCs w:val="26"/>
          <w:rtl/>
        </w:rPr>
        <w:tab/>
      </w:r>
    </w:p>
    <w:p w:rsidR="00F81635" w:rsidRDefault="00F81635" w:rsidP="00FE0122">
      <w:pPr>
        <w:pStyle w:val="HeadHatzaotHok"/>
        <w:tabs>
          <w:tab w:val="left" w:pos="4071"/>
          <w:tab w:val="center" w:pos="4819"/>
        </w:tabs>
        <w:spacing w:before="0" w:line="240" w:lineRule="auto"/>
        <w:rPr>
          <w:rFonts w:hint="cs"/>
          <w:sz w:val="26"/>
          <w:rtl/>
        </w:rPr>
      </w:pPr>
      <w:bookmarkStart w:id="6" w:name="Title"/>
      <w:r>
        <w:rPr>
          <w:rFonts w:hint="cs"/>
          <w:sz w:val="26"/>
          <w:rtl/>
        </w:rPr>
        <w:t>הצעת חוק-יסוד: ישראל</w:t>
      </w:r>
      <w:bookmarkStart w:id="7" w:name="_GoBack"/>
      <w:bookmarkEnd w:id="7"/>
      <w:r>
        <w:rPr>
          <w:rFonts w:hint="cs"/>
          <w:sz w:val="26"/>
          <w:rtl/>
        </w:rPr>
        <w:t xml:space="preserve"> – מדינה דמוקרטית ושוויונית</w:t>
      </w:r>
      <w:bookmarkEnd w:id="6"/>
    </w:p>
    <w:p w:rsidR="00FE0122" w:rsidRDefault="00FE0122" w:rsidP="00FE0122">
      <w:pPr>
        <w:pStyle w:val="HeadHatzaotHok"/>
        <w:tabs>
          <w:tab w:val="left" w:pos="4071"/>
          <w:tab w:val="center" w:pos="4819"/>
        </w:tabs>
        <w:spacing w:before="0" w:line="240" w:lineRule="auto"/>
        <w:rPr>
          <w:sz w:val="26"/>
          <w:rtl/>
        </w:rPr>
      </w:pPr>
    </w:p>
    <w:tbl>
      <w:tblPr>
        <w:bidiVisual/>
        <w:tblW w:w="9645" w:type="dxa"/>
        <w:tblLayout w:type="fixed"/>
        <w:tblCellMar>
          <w:top w:w="57" w:type="dxa"/>
          <w:left w:w="0" w:type="dxa"/>
          <w:bottom w:w="57" w:type="dxa"/>
          <w:right w:w="0" w:type="dxa"/>
        </w:tblCellMar>
        <w:tblLook w:val="01E0" w:firstRow="1" w:lastRow="1" w:firstColumn="1" w:lastColumn="1" w:noHBand="0" w:noVBand="0"/>
      </w:tblPr>
      <w:tblGrid>
        <w:gridCol w:w="1872"/>
        <w:gridCol w:w="624"/>
        <w:gridCol w:w="7149"/>
      </w:tblGrid>
      <w:tr w:rsidR="00F81635" w:rsidTr="00F81635">
        <w:trPr>
          <w:cantSplit/>
          <w:trHeight w:val="60"/>
        </w:trPr>
        <w:tc>
          <w:tcPr>
            <w:tcW w:w="1871" w:type="dxa"/>
            <w:hideMark/>
          </w:tcPr>
          <w:p w:rsidR="00F81635" w:rsidRDefault="00F81635">
            <w:pPr>
              <w:pStyle w:val="TableSideHeading"/>
              <w:keepLines w:val="0"/>
            </w:pPr>
            <w:r>
              <w:rPr>
                <w:rFonts w:hint="cs"/>
                <w:sz w:val="26"/>
                <w:rtl/>
              </w:rPr>
              <w:t>עקרון יסוד</w:t>
            </w:r>
          </w:p>
        </w:tc>
        <w:tc>
          <w:tcPr>
            <w:tcW w:w="624" w:type="dxa"/>
            <w:hideMark/>
          </w:tcPr>
          <w:p w:rsidR="00F81635" w:rsidRDefault="00F81635">
            <w:pPr>
              <w:pStyle w:val="TableText"/>
            </w:pPr>
            <w:r>
              <w:rPr>
                <w:rFonts w:hint="cs"/>
                <w:rtl/>
              </w:rPr>
              <w:t>1.</w:t>
            </w:r>
          </w:p>
        </w:tc>
        <w:tc>
          <w:tcPr>
            <w:tcW w:w="7146" w:type="dxa"/>
            <w:hideMark/>
          </w:tcPr>
          <w:p w:rsidR="00F81635" w:rsidRDefault="00F81635">
            <w:pPr>
              <w:pStyle w:val="TableBlock"/>
            </w:pPr>
            <w:r>
              <w:rPr>
                <w:rFonts w:hint="cs"/>
                <w:rtl/>
              </w:rPr>
              <w:t>כל בני האדם נולדו שווים; זכויותיהם של האזרחים בישראל ומחויבותה של המדינה לזכויות אלו, מושתתות על ההכרה בעקרון השוויון, על ההכרה בערך האדם ועל עקרון כבוד הבריות.</w:t>
            </w:r>
          </w:p>
        </w:tc>
      </w:tr>
      <w:tr w:rsidR="00F81635" w:rsidTr="00F81635">
        <w:trPr>
          <w:cantSplit/>
          <w:trHeight w:val="60"/>
        </w:trPr>
        <w:tc>
          <w:tcPr>
            <w:tcW w:w="1871" w:type="dxa"/>
            <w:hideMark/>
          </w:tcPr>
          <w:p w:rsidR="00F81635" w:rsidRDefault="00F81635">
            <w:pPr>
              <w:pStyle w:val="TableSideHeading"/>
              <w:keepLines w:val="0"/>
              <w:rPr>
                <w:sz w:val="26"/>
              </w:rPr>
            </w:pPr>
            <w:r>
              <w:rPr>
                <w:rFonts w:hint="cs"/>
                <w:sz w:val="26"/>
                <w:rtl/>
              </w:rPr>
              <w:t>מטרה</w:t>
            </w:r>
          </w:p>
        </w:tc>
        <w:tc>
          <w:tcPr>
            <w:tcW w:w="624" w:type="dxa"/>
            <w:hideMark/>
          </w:tcPr>
          <w:p w:rsidR="00F81635" w:rsidRDefault="00F81635">
            <w:pPr>
              <w:pStyle w:val="TableText"/>
              <w:keepLines w:val="0"/>
            </w:pPr>
            <w:r>
              <w:rPr>
                <w:rFonts w:hint="cs"/>
                <w:rtl/>
              </w:rPr>
              <w:t>2.</w:t>
            </w:r>
          </w:p>
        </w:tc>
        <w:tc>
          <w:tcPr>
            <w:tcW w:w="7146" w:type="dxa"/>
            <w:hideMark/>
          </w:tcPr>
          <w:p w:rsidR="00F81635" w:rsidRDefault="00F81635">
            <w:pPr>
              <w:pStyle w:val="TableBlock"/>
            </w:pPr>
            <w:r>
              <w:rPr>
                <w:rFonts w:hint="cs"/>
                <w:sz w:val="26"/>
                <w:rtl/>
              </w:rPr>
              <w:t>מטרת חוק-יסוד זה היא לעגן את הערכים הדמוקרטיים במדינת ישראל כדי להגן על כבודם, חירותם וזכותם לשוויון של כל אזרחי המדינה, ללא כל הפליה.</w:t>
            </w:r>
          </w:p>
        </w:tc>
      </w:tr>
      <w:tr w:rsidR="00F81635" w:rsidTr="00F81635">
        <w:trPr>
          <w:cantSplit/>
          <w:trHeight w:val="60"/>
        </w:trPr>
        <w:tc>
          <w:tcPr>
            <w:tcW w:w="1871" w:type="dxa"/>
            <w:hideMark/>
          </w:tcPr>
          <w:p w:rsidR="00F81635" w:rsidRDefault="00F81635">
            <w:pPr>
              <w:pStyle w:val="TableBlock"/>
            </w:pPr>
            <w:r>
              <w:rPr>
                <w:rFonts w:hint="cs"/>
                <w:rtl/>
              </w:rPr>
              <w:t>שוויון</w:t>
            </w:r>
          </w:p>
        </w:tc>
        <w:tc>
          <w:tcPr>
            <w:tcW w:w="624" w:type="dxa"/>
            <w:hideMark/>
          </w:tcPr>
          <w:p w:rsidR="00F81635" w:rsidRDefault="00F81635">
            <w:pPr>
              <w:pStyle w:val="TableText"/>
              <w:keepLines w:val="0"/>
            </w:pPr>
            <w:r>
              <w:rPr>
                <w:rFonts w:hint="cs"/>
                <w:rtl/>
              </w:rPr>
              <w:t xml:space="preserve">3. </w:t>
            </w:r>
          </w:p>
        </w:tc>
        <w:tc>
          <w:tcPr>
            <w:tcW w:w="7146" w:type="dxa"/>
            <w:hideMark/>
          </w:tcPr>
          <w:p w:rsidR="00F81635" w:rsidRDefault="00F81635">
            <w:pPr>
              <w:pStyle w:val="TableBlock"/>
              <w:rPr>
                <w:sz w:val="26"/>
              </w:rPr>
            </w:pPr>
            <w:r>
              <w:rPr>
                <w:rFonts w:hint="cs"/>
                <w:sz w:val="26"/>
                <w:rtl/>
              </w:rPr>
              <w:t>לכל אדם בישראל יש זכות להגנה שוויונית של החוק ולשוויון הזדמנויות גמור.</w:t>
            </w:r>
          </w:p>
        </w:tc>
      </w:tr>
      <w:tr w:rsidR="00F81635" w:rsidTr="00F81635">
        <w:trPr>
          <w:cantSplit/>
          <w:trHeight w:val="60"/>
        </w:trPr>
        <w:tc>
          <w:tcPr>
            <w:tcW w:w="1871" w:type="dxa"/>
            <w:hideMark/>
          </w:tcPr>
          <w:p w:rsidR="00F81635" w:rsidRDefault="00F81635">
            <w:pPr>
              <w:pStyle w:val="TableSideHeading"/>
              <w:keepLines w:val="0"/>
              <w:rPr>
                <w:sz w:val="26"/>
              </w:rPr>
            </w:pPr>
            <w:r>
              <w:rPr>
                <w:rFonts w:hint="cs"/>
                <w:sz w:val="26"/>
                <w:rtl/>
              </w:rPr>
              <w:t>העדפה מתקנת</w:t>
            </w:r>
          </w:p>
        </w:tc>
        <w:tc>
          <w:tcPr>
            <w:tcW w:w="624" w:type="dxa"/>
            <w:hideMark/>
          </w:tcPr>
          <w:p w:rsidR="00F81635" w:rsidRDefault="00F81635">
            <w:pPr>
              <w:pStyle w:val="TableText"/>
              <w:keepLines w:val="0"/>
            </w:pPr>
            <w:r>
              <w:rPr>
                <w:rFonts w:hint="cs"/>
                <w:rtl/>
              </w:rPr>
              <w:t>4.</w:t>
            </w:r>
          </w:p>
        </w:tc>
        <w:tc>
          <w:tcPr>
            <w:tcW w:w="7146" w:type="dxa"/>
            <w:hideMark/>
          </w:tcPr>
          <w:p w:rsidR="00F81635" w:rsidRDefault="00F81635">
            <w:pPr>
              <w:pStyle w:val="TableBlock"/>
              <w:rPr>
                <w:sz w:val="26"/>
              </w:rPr>
            </w:pPr>
            <w:r>
              <w:rPr>
                <w:rFonts w:hint="cs"/>
                <w:rtl/>
              </w:rPr>
              <w:t>אין רואים כהפליה פסולה פעולה שנועדה לתקן הפליה קודמת או קיימת של אזרחים או קבוצת אזרחים, או שנועדה לקדם את השוויון.</w:t>
            </w:r>
          </w:p>
        </w:tc>
      </w:tr>
      <w:tr w:rsidR="00F81635" w:rsidTr="00F81635">
        <w:trPr>
          <w:cantSplit/>
          <w:trHeight w:val="60"/>
        </w:trPr>
        <w:tc>
          <w:tcPr>
            <w:tcW w:w="1871" w:type="dxa"/>
            <w:hideMark/>
          </w:tcPr>
          <w:p w:rsidR="00F81635" w:rsidRDefault="00F81635">
            <w:pPr>
              <w:pStyle w:val="TableSideHeading"/>
              <w:keepLines w:val="0"/>
              <w:rPr>
                <w:sz w:val="26"/>
              </w:rPr>
            </w:pPr>
            <w:r>
              <w:rPr>
                <w:rFonts w:hint="cs"/>
                <w:sz w:val="26"/>
                <w:rtl/>
              </w:rPr>
              <w:t>תחולה</w:t>
            </w:r>
          </w:p>
        </w:tc>
        <w:tc>
          <w:tcPr>
            <w:tcW w:w="624" w:type="dxa"/>
            <w:hideMark/>
          </w:tcPr>
          <w:p w:rsidR="00F81635" w:rsidRDefault="00F81635">
            <w:pPr>
              <w:pStyle w:val="TableText"/>
              <w:keepLines w:val="0"/>
            </w:pPr>
            <w:r>
              <w:rPr>
                <w:rFonts w:hint="cs"/>
                <w:rtl/>
              </w:rPr>
              <w:t>5.</w:t>
            </w:r>
          </w:p>
        </w:tc>
        <w:tc>
          <w:tcPr>
            <w:tcW w:w="7146" w:type="dxa"/>
            <w:hideMark/>
          </w:tcPr>
          <w:p w:rsidR="00F81635" w:rsidRDefault="00F81635">
            <w:pPr>
              <w:pStyle w:val="TableBlock"/>
              <w:rPr>
                <w:sz w:val="26"/>
              </w:rPr>
            </w:pPr>
            <w:r>
              <w:rPr>
                <w:rFonts w:hint="cs"/>
                <w:rtl/>
              </w:rPr>
              <w:t>כל רשות מרשויות השלטון חייבת לכבד את הזכויות שלפי חוק-יסוד זה.</w:t>
            </w:r>
          </w:p>
        </w:tc>
      </w:tr>
    </w:tbl>
    <w:p w:rsidR="00F81635" w:rsidRDefault="00F81635" w:rsidP="00FE0122">
      <w:pPr>
        <w:pStyle w:val="HeadDivreiHesber"/>
        <w:rPr>
          <w:rtl/>
        </w:rPr>
      </w:pPr>
      <w:r>
        <w:rPr>
          <w:rFonts w:hint="cs"/>
          <w:rtl/>
        </w:rPr>
        <w:t>דברי הסבר</w:t>
      </w:r>
    </w:p>
    <w:p w:rsidR="00F81635" w:rsidRDefault="00F81635" w:rsidP="00F81635">
      <w:pPr>
        <w:pStyle w:val="Hesber"/>
        <w:rPr>
          <w:rtl/>
        </w:rPr>
      </w:pPr>
      <w:r>
        <w:rPr>
          <w:rFonts w:hint="cs"/>
          <w:rtl/>
        </w:rPr>
        <w:t xml:space="preserve">ביסודה של ההצעה הזו עומד עקרון השוויון. עקרון על זה נפקד עד היום מספר החוקים הישראלי. עקרון השוויון מוגן במפורש בחוקות של מדינות דמוקרטיות והגיע הזמן, 66 שנים לאחר קום המדינה, לעגן עקרון זה באופן מפורש גם בספר החוקים הישראלי. כך, למשל, תיקון 14 לחוקה האמריקאית קובע את הזכות של כל אדם "להגנה שוויונית של החוק". סעיף 15 לחוקה הקנדית קובע ש"כל יחיד הוא שווה בפני החוק ותחת החוק". </w:t>
      </w:r>
    </w:p>
    <w:p w:rsidR="00F81635" w:rsidRDefault="00F81635" w:rsidP="00F81635">
      <w:pPr>
        <w:pStyle w:val="Hesber"/>
        <w:rPr>
          <w:rtl/>
        </w:rPr>
      </w:pPr>
      <w:r>
        <w:rPr>
          <w:rFonts w:hint="cs"/>
          <w:rtl/>
        </w:rPr>
        <w:t xml:space="preserve">מובן כי על רשויות המדינה לנהוג בשוויון מהותי ולא רק פורמאלי, כלומר להעניק שוויון הזדמנויות ושוויון בסיכויים לכל האזרחים ללא הפלייה. עיגון חוקתי של עקרון השוויון מגן על האזרחים מפני שרירות, על-ידי כך שהוא מחייב את המדינה לפעול על פי שיקולים ענייניים ורלוונטיים. </w:t>
      </w:r>
    </w:p>
    <w:p w:rsidR="00F81635" w:rsidRDefault="00F81635" w:rsidP="00F81635">
      <w:pPr>
        <w:pStyle w:val="Hesber"/>
        <w:rPr>
          <w:rtl/>
        </w:rPr>
      </w:pPr>
      <w:r>
        <w:rPr>
          <w:rFonts w:hint="cs"/>
          <w:rtl/>
        </w:rPr>
        <w:t xml:space="preserve">עקרון השוויון מגן גם על קבוצות מיעוט או קבוצות מוחלשות בחברה מפני עריצות הרוב. </w:t>
      </w:r>
    </w:p>
    <w:p w:rsidR="00F81635" w:rsidRDefault="00F81635" w:rsidP="00F81635">
      <w:pPr>
        <w:pStyle w:val="Hesber"/>
        <w:rPr>
          <w:rtl/>
        </w:rPr>
      </w:pPr>
      <w:r>
        <w:rPr>
          <w:rFonts w:hint="cs"/>
          <w:rtl/>
        </w:rPr>
        <w:t xml:space="preserve">עיגון חוקתי כאמור יקנה גם לשופטים מקור מרכזי לאכיפת עקרון זה בכל תחומי החיים במדינה, לרבות הבטחת השוויון המהותי במימוש שאר זכויות האזרח במדינה (זכויות אזרחיות ופוליטיות, </w:t>
      </w:r>
      <w:r>
        <w:rPr>
          <w:rFonts w:hint="cs"/>
          <w:rtl/>
        </w:rPr>
        <w:lastRenderedPageBreak/>
        <w:t xml:space="preserve">וזכויות חברתיות). </w:t>
      </w:r>
    </w:p>
    <w:p w:rsidR="00F81635" w:rsidRDefault="00F81635" w:rsidP="00F81635">
      <w:pPr>
        <w:pStyle w:val="Hesber"/>
        <w:rPr>
          <w:rtl/>
        </w:rPr>
      </w:pPr>
      <w:r>
        <w:rPr>
          <w:rFonts w:hint="cs"/>
          <w:rtl/>
        </w:rPr>
        <w:t>השופט בדימוס אליהו מצא, לשעבר המשנה לנשיא בית המשפט העליון, עומד במאמר שהתפרסם בכתב העת "עורך דין" באפריל 2014 על הצורך בחקיקה זו.</w:t>
      </w:r>
    </w:p>
    <w:p w:rsidR="00F81635" w:rsidRDefault="00F81635" w:rsidP="00F81635">
      <w:pPr>
        <w:pStyle w:val="Hesber"/>
        <w:rPr>
          <w:rtl/>
        </w:rPr>
      </w:pPr>
      <w:r>
        <w:rPr>
          <w:rFonts w:hint="cs"/>
          <w:rtl/>
        </w:rPr>
        <w:t>השופט מצא אומר כי "עיקר מבחנה של דמוקרטיה הוא בקיומם ובשמירתם של ערכי יסוד חוקתיים: שוויון הזדמנויות חברתי, כבוד האדם ללא הבדל דת, גזע ומין, חופש דת וחופש מדת, הגנה על זכויות המיעוטים והכרה בזכות שווה לחינוך, לבריאות ולקיום בכבוד.</w:t>
      </w:r>
    </w:p>
    <w:p w:rsidR="00F81635" w:rsidRDefault="00F81635" w:rsidP="00F81635">
      <w:pPr>
        <w:pStyle w:val="Hesber"/>
        <w:rPr>
          <w:rtl/>
        </w:rPr>
      </w:pPr>
      <w:r>
        <w:rPr>
          <w:rFonts w:hint="cs"/>
          <w:rtl/>
        </w:rPr>
        <w:t>נוכח מידת שמירתה על כל אלה, למרבה הצער, ישראל אינה מצטיירת כמדינה דמוקרטית.</w:t>
      </w:r>
    </w:p>
    <w:p w:rsidR="00F81635" w:rsidRDefault="00F81635" w:rsidP="00F81635">
      <w:pPr>
        <w:pStyle w:val="Hesber"/>
        <w:rPr>
          <w:rtl/>
        </w:rPr>
      </w:pPr>
      <w:r>
        <w:rPr>
          <w:rFonts w:hint="cs"/>
          <w:rtl/>
        </w:rPr>
        <w:t>אמנם התברכנו בשני חוקי-יסוד שיש בהם הכרה בערכים חוקתיים אחדים, אך בהעדר שריון חוקתי לזכויות שהוכרו בחוקי היסוד, ובהעדר עיגון מפורש לערכים חוקתיים כגון שוויון, חופש ביטוי, הזכות לחופש דת ולחופש מדת ולזכויות חברתיות בסיסיות, נראה שעוד רבה הדרך להשלמת מפעלנו החוקתי."</w:t>
      </w:r>
    </w:p>
    <w:p w:rsidR="00F81635" w:rsidRDefault="00F81635" w:rsidP="00F81635">
      <w:pPr>
        <w:pStyle w:val="Hesber"/>
        <w:rPr>
          <w:rtl/>
        </w:rPr>
      </w:pPr>
      <w:r>
        <w:rPr>
          <w:rFonts w:hint="cs"/>
          <w:rtl/>
        </w:rPr>
        <w:t xml:space="preserve">הצעת החוק גם קובעת במפורש את עקרון ההעדפה המתקנת. מובן כי אין במתן העדפה מתקנת כדי לסתור את עקרון השוויון, שכן העדפה מתקנת נועדה לשפר את השוויון המהותי ולא לגרוע ממנו, וזאת על ידי מתן העדפה לקבוצות שסבלו באופן היסטורי מהפליה מתמשכת. </w:t>
      </w:r>
    </w:p>
    <w:p w:rsidR="00E13C27" w:rsidRDefault="00E13C27" w:rsidP="00F81635">
      <w:pPr>
        <w:rPr>
          <w:rFonts w:hint="cs"/>
          <w:rtl/>
        </w:rPr>
      </w:pPr>
    </w:p>
    <w:p w:rsidR="00FE0122" w:rsidRDefault="00FE0122" w:rsidP="00F81635">
      <w:pPr>
        <w:rPr>
          <w:rFonts w:hint="cs"/>
          <w:rtl/>
        </w:rPr>
      </w:pPr>
    </w:p>
    <w:p w:rsidR="00FE0122" w:rsidRDefault="00FE0122" w:rsidP="00F81635">
      <w:pPr>
        <w:rPr>
          <w:rFonts w:hint="cs"/>
          <w:rtl/>
        </w:rPr>
      </w:pPr>
    </w:p>
    <w:p w:rsidR="00FE0122" w:rsidRDefault="00FE0122" w:rsidP="00F81635">
      <w:pPr>
        <w:rPr>
          <w:rFonts w:hint="cs"/>
          <w:rtl/>
        </w:rPr>
      </w:pPr>
    </w:p>
    <w:p w:rsidR="00FE0122" w:rsidRDefault="00FE0122" w:rsidP="00F81635">
      <w:pPr>
        <w:rPr>
          <w:rFonts w:hint="cs"/>
          <w:rtl/>
        </w:rPr>
      </w:pPr>
    </w:p>
    <w:p w:rsidR="00FE0122" w:rsidRDefault="00FE0122" w:rsidP="00F81635">
      <w:pPr>
        <w:rPr>
          <w:rFonts w:hint="cs"/>
          <w:rtl/>
        </w:rPr>
      </w:pPr>
    </w:p>
    <w:p w:rsidR="00FE0122" w:rsidRDefault="00FE0122" w:rsidP="00FE0122">
      <w:pPr>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w:t>
      </w:r>
    </w:p>
    <w:p w:rsidR="00FE0122" w:rsidRDefault="00FE0122" w:rsidP="00FE0122">
      <w:pPr>
        <w:ind w:left="340" w:firstLine="0"/>
        <w:rPr>
          <w:rFonts w:ascii="Arial" w:eastAsia="Arial Unicode MS" w:hAnsi="Arial" w:cs="David" w:hint="cs"/>
          <w:snapToGrid w:val="0"/>
          <w:spacing w:val="0"/>
          <w:sz w:val="20"/>
          <w:szCs w:val="26"/>
          <w:rtl/>
        </w:rPr>
      </w:pPr>
      <w:r>
        <w:rPr>
          <w:rFonts w:ascii="Arial" w:eastAsia="Arial Unicode MS" w:hAnsi="Arial" w:cs="David" w:hint="cs"/>
          <w:snapToGrid w:val="0"/>
          <w:spacing w:val="0"/>
          <w:sz w:val="20"/>
          <w:szCs w:val="26"/>
          <w:rtl/>
        </w:rPr>
        <w:t>הוגשה ליו"ר הכנסת והסגנים</w:t>
      </w:r>
    </w:p>
    <w:p w:rsidR="00FE0122" w:rsidRDefault="00FE0122" w:rsidP="00FE0122">
      <w:pPr>
        <w:ind w:left="340" w:firstLine="0"/>
        <w:rPr>
          <w:rFonts w:ascii="Arial" w:eastAsia="Arial Unicode MS" w:hAnsi="Arial" w:cs="David" w:hint="cs"/>
          <w:snapToGrid w:val="0"/>
          <w:spacing w:val="0"/>
          <w:sz w:val="20"/>
          <w:szCs w:val="26"/>
          <w:rtl/>
        </w:rPr>
      </w:pPr>
      <w:r>
        <w:rPr>
          <w:rFonts w:ascii="Arial" w:eastAsia="Arial Unicode MS" w:hAnsi="Arial" w:cs="David" w:hint="cs"/>
          <w:snapToGrid w:val="0"/>
          <w:spacing w:val="0"/>
          <w:sz w:val="20"/>
          <w:szCs w:val="26"/>
          <w:rtl/>
        </w:rPr>
        <w:t>והונחה על שולחן הכנסת ביום</w:t>
      </w:r>
    </w:p>
    <w:p w:rsidR="00FE0122" w:rsidRDefault="00FE0122" w:rsidP="00FE0122">
      <w:pPr>
        <w:ind w:left="340" w:firstLine="0"/>
        <w:rPr>
          <w:rFonts w:ascii="Arial" w:eastAsia="Arial Unicode MS" w:hAnsi="Arial" w:cs="David" w:hint="cs"/>
          <w:snapToGrid w:val="0"/>
          <w:spacing w:val="0"/>
          <w:sz w:val="20"/>
          <w:szCs w:val="26"/>
          <w:rtl/>
        </w:rPr>
      </w:pPr>
      <w:r>
        <w:rPr>
          <w:rFonts w:ascii="Arial" w:eastAsia="Arial Unicode MS" w:hAnsi="Arial" w:cs="David" w:hint="cs"/>
          <w:snapToGrid w:val="0"/>
          <w:spacing w:val="0"/>
          <w:sz w:val="20"/>
          <w:szCs w:val="26"/>
          <w:rtl/>
        </w:rPr>
        <w:t xml:space="preserve">ט' בכסלו </w:t>
      </w:r>
      <w:proofErr w:type="spellStart"/>
      <w:r>
        <w:rPr>
          <w:rFonts w:ascii="Arial" w:eastAsia="Arial Unicode MS" w:hAnsi="Arial" w:cs="David" w:hint="cs"/>
          <w:snapToGrid w:val="0"/>
          <w:spacing w:val="0"/>
          <w:sz w:val="20"/>
          <w:szCs w:val="26"/>
          <w:rtl/>
        </w:rPr>
        <w:t>התשע"ה</w:t>
      </w:r>
      <w:proofErr w:type="spellEnd"/>
      <w:r>
        <w:rPr>
          <w:rFonts w:ascii="Arial" w:eastAsia="Arial Unicode MS" w:hAnsi="Arial" w:cs="David" w:hint="cs"/>
          <w:snapToGrid w:val="0"/>
          <w:spacing w:val="0"/>
          <w:sz w:val="20"/>
          <w:szCs w:val="26"/>
          <w:rtl/>
        </w:rPr>
        <w:t xml:space="preserve"> – 1.12.14</w:t>
      </w:r>
    </w:p>
    <w:p w:rsidR="00FE0122" w:rsidRDefault="00FE0122" w:rsidP="00FE0122">
      <w:pPr>
        <w:ind w:left="340" w:firstLine="0"/>
        <w:rPr>
          <w:rFonts w:ascii="Arial" w:eastAsia="Arial Unicode MS" w:hAnsi="Arial" w:cs="David"/>
          <w:snapToGrid w:val="0"/>
          <w:spacing w:val="0"/>
          <w:sz w:val="20"/>
          <w:szCs w:val="26"/>
        </w:rPr>
      </w:pPr>
    </w:p>
    <w:p w:rsidR="00FE0122" w:rsidRDefault="00FE0122" w:rsidP="00FE0122">
      <w:pPr>
        <w:spacing w:line="360" w:lineRule="auto"/>
        <w:rPr>
          <w:rFonts w:hint="cs"/>
          <w:rtl/>
        </w:rPr>
      </w:pPr>
    </w:p>
    <w:p w:rsidR="00FE0122" w:rsidRPr="00F81635" w:rsidRDefault="00FE0122" w:rsidP="00F81635">
      <w:pPr>
        <w:rPr>
          <w:rtl/>
        </w:rPr>
      </w:pPr>
    </w:p>
    <w:sectPr w:rsidR="00FE0122" w:rsidRPr="00F81635"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E6" w:rsidRDefault="001871E6">
      <w:r>
        <w:separator/>
      </w:r>
    </w:p>
  </w:endnote>
  <w:endnote w:type="continuationSeparator" w:id="0">
    <w:p w:rsidR="001871E6" w:rsidRDefault="0018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1A0623" w:rsidRDefault="001A06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FE0122">
      <w:rPr>
        <w:rStyle w:val="aa"/>
        <w:noProof/>
        <w:rtl/>
      </w:rPr>
      <w:t>2</w:t>
    </w:r>
    <w:r>
      <w:rPr>
        <w:rStyle w:val="aa"/>
        <w:rtl/>
      </w:rPr>
      <w:fldChar w:fldCharType="end"/>
    </w:r>
  </w:p>
  <w:p w:rsidR="001A0623" w:rsidRDefault="001A06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E6" w:rsidRDefault="001871E6">
      <w:r>
        <w:separator/>
      </w:r>
    </w:p>
  </w:footnote>
  <w:footnote w:type="continuationSeparator" w:id="0">
    <w:p w:rsidR="001871E6" w:rsidRDefault="001871E6">
      <w:r>
        <w:continuationSeparator/>
      </w:r>
    </w:p>
  </w:footnote>
  <w:footnote w:type="continuationNotice" w:id="1">
    <w:p w:rsidR="001871E6" w:rsidRDefault="001871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59334lsCopyOriginal.docx"/>
    <w:docVar w:name="StartMode" w:val="3"/>
  </w:docVars>
  <w:rsids>
    <w:rsidRoot w:val="00DB7060"/>
    <w:rsid w:val="00015B27"/>
    <w:rsid w:val="000A542E"/>
    <w:rsid w:val="001207F8"/>
    <w:rsid w:val="00121924"/>
    <w:rsid w:val="001279A8"/>
    <w:rsid w:val="0014195F"/>
    <w:rsid w:val="00152609"/>
    <w:rsid w:val="00153E1B"/>
    <w:rsid w:val="001871E6"/>
    <w:rsid w:val="001A0623"/>
    <w:rsid w:val="001C23B0"/>
    <w:rsid w:val="00203A7F"/>
    <w:rsid w:val="002200A1"/>
    <w:rsid w:val="002362BF"/>
    <w:rsid w:val="00241B97"/>
    <w:rsid w:val="00254605"/>
    <w:rsid w:val="002728B4"/>
    <w:rsid w:val="00284D54"/>
    <w:rsid w:val="00292712"/>
    <w:rsid w:val="002C2E29"/>
    <w:rsid w:val="003178D9"/>
    <w:rsid w:val="003232A2"/>
    <w:rsid w:val="003710F6"/>
    <w:rsid w:val="00386E88"/>
    <w:rsid w:val="003D74A0"/>
    <w:rsid w:val="004033D8"/>
    <w:rsid w:val="004B55C0"/>
    <w:rsid w:val="004D3876"/>
    <w:rsid w:val="004E4552"/>
    <w:rsid w:val="004F6D77"/>
    <w:rsid w:val="00553C9D"/>
    <w:rsid w:val="005B064E"/>
    <w:rsid w:val="005D51AE"/>
    <w:rsid w:val="00644940"/>
    <w:rsid w:val="006818A9"/>
    <w:rsid w:val="006C1D0D"/>
    <w:rsid w:val="006D0B11"/>
    <w:rsid w:val="006F138F"/>
    <w:rsid w:val="0070601E"/>
    <w:rsid w:val="00765F66"/>
    <w:rsid w:val="007D5A12"/>
    <w:rsid w:val="007E59F9"/>
    <w:rsid w:val="00810BCD"/>
    <w:rsid w:val="00812C98"/>
    <w:rsid w:val="00814D92"/>
    <w:rsid w:val="00892135"/>
    <w:rsid w:val="00895449"/>
    <w:rsid w:val="00897879"/>
    <w:rsid w:val="008C2DDC"/>
    <w:rsid w:val="008F0D63"/>
    <w:rsid w:val="008F2C35"/>
    <w:rsid w:val="0091204F"/>
    <w:rsid w:val="009203DB"/>
    <w:rsid w:val="00943386"/>
    <w:rsid w:val="00957589"/>
    <w:rsid w:val="00982412"/>
    <w:rsid w:val="00A26BD6"/>
    <w:rsid w:val="00A82CB7"/>
    <w:rsid w:val="00AC36F7"/>
    <w:rsid w:val="00B35784"/>
    <w:rsid w:val="00BC45FB"/>
    <w:rsid w:val="00C9176A"/>
    <w:rsid w:val="00D867D7"/>
    <w:rsid w:val="00DB7060"/>
    <w:rsid w:val="00DE3153"/>
    <w:rsid w:val="00E13C27"/>
    <w:rsid w:val="00E33BBD"/>
    <w:rsid w:val="00E45103"/>
    <w:rsid w:val="00E665B9"/>
    <w:rsid w:val="00EA01E6"/>
    <w:rsid w:val="00EA758F"/>
    <w:rsid w:val="00ED4A6F"/>
    <w:rsid w:val="00EF3A3A"/>
    <w:rsid w:val="00F81635"/>
    <w:rsid w:val="00FA1835"/>
    <w:rsid w:val="00FE01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paragraph" w:styleId="1">
    <w:name w:val="heading 1"/>
    <w:basedOn w:val="a"/>
    <w:next w:val="a"/>
    <w:link w:val="10"/>
    <w:uiPriority w:val="99"/>
    <w:qFormat/>
    <w:rsid w:val="00FA1835"/>
    <w:pPr>
      <w:keepNext/>
      <w:widowControl/>
      <w:adjustRightInd/>
      <w:spacing w:before="0" w:line="240" w:lineRule="auto"/>
      <w:ind w:firstLine="0"/>
      <w:jc w:val="center"/>
      <w:textAlignment w:val="auto"/>
      <w:outlineLvl w:val="0"/>
    </w:pPr>
    <w:rPr>
      <w:rFonts w:ascii="Times New Roman" w:eastAsia="Times New Roman" w:hAnsi="Times New Roman" w:cs="David"/>
      <w:b/>
      <w:bCs/>
      <w:color w:val="auto"/>
      <w:spacing w:val="0"/>
      <w:sz w:val="28"/>
      <w:szCs w:val="28"/>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rsid w:val="00943386"/>
    <w:pPr>
      <w:jc w:val="both"/>
    </w:pPr>
  </w:style>
  <w:style w:type="paragraph" w:styleId="a4">
    <w:name w:val="footnote text"/>
    <w:basedOn w:val="Ragil"/>
    <w:autoRedefine/>
    <w:semiHidden/>
    <w:rsid w:val="00943386"/>
    <w:pPr>
      <w:spacing w:line="240" w:lineRule="auto"/>
      <w:ind w:left="227" w:hanging="227"/>
    </w:pPr>
    <w:rPr>
      <w:sz w:val="14"/>
      <w:szCs w:val="20"/>
    </w:rPr>
  </w:style>
  <w:style w:type="character" w:styleId="a5">
    <w:name w:val="footnote reference"/>
    <w:semiHidden/>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6">
    <w:name w:val="endnote reference"/>
    <w:semiHidden/>
    <w:rsid w:val="00943386"/>
    <w:rPr>
      <w:vertAlign w:val="superscript"/>
    </w:rPr>
  </w:style>
  <w:style w:type="paragraph" w:customStyle="1" w:styleId="TableBlockOutdent">
    <w:name w:val="Table BlockOutdent"/>
    <w:basedOn w:val="TableBlock"/>
    <w:rsid w:val="00943386"/>
    <w:pPr>
      <w:ind w:left="624" w:hanging="624"/>
    </w:pPr>
  </w:style>
  <w:style w:type="paragraph" w:styleId="a7">
    <w:name w:val="header"/>
    <w:basedOn w:val="a"/>
    <w:rsid w:val="00943386"/>
    <w:pPr>
      <w:tabs>
        <w:tab w:val="center" w:pos="4153"/>
        <w:tab w:val="right" w:pos="8306"/>
      </w:tabs>
    </w:pPr>
  </w:style>
  <w:style w:type="paragraph" w:styleId="a8">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character" w:customStyle="1" w:styleId="10">
    <w:name w:val="כותרת 1 תו"/>
    <w:basedOn w:val="a0"/>
    <w:link w:val="1"/>
    <w:uiPriority w:val="99"/>
    <w:rsid w:val="00FA1835"/>
    <w:rPr>
      <w:rFonts w:eastAsia="Times New Roman" w:cs="David"/>
      <w:b/>
      <w:bCs/>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paragraph" w:styleId="1">
    <w:name w:val="heading 1"/>
    <w:basedOn w:val="a"/>
    <w:next w:val="a"/>
    <w:link w:val="10"/>
    <w:uiPriority w:val="99"/>
    <w:qFormat/>
    <w:rsid w:val="00FA1835"/>
    <w:pPr>
      <w:keepNext/>
      <w:widowControl/>
      <w:adjustRightInd/>
      <w:spacing w:before="0" w:line="240" w:lineRule="auto"/>
      <w:ind w:firstLine="0"/>
      <w:jc w:val="center"/>
      <w:textAlignment w:val="auto"/>
      <w:outlineLvl w:val="0"/>
    </w:pPr>
    <w:rPr>
      <w:rFonts w:ascii="Times New Roman" w:eastAsia="Times New Roman" w:hAnsi="Times New Roman" w:cs="David"/>
      <w:b/>
      <w:bCs/>
      <w:color w:val="auto"/>
      <w:spacing w:val="0"/>
      <w:sz w:val="28"/>
      <w:szCs w:val="28"/>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rsid w:val="00943386"/>
    <w:pPr>
      <w:jc w:val="both"/>
    </w:pPr>
  </w:style>
  <w:style w:type="paragraph" w:styleId="a4">
    <w:name w:val="footnote text"/>
    <w:basedOn w:val="Ragil"/>
    <w:autoRedefine/>
    <w:semiHidden/>
    <w:rsid w:val="00943386"/>
    <w:pPr>
      <w:spacing w:line="240" w:lineRule="auto"/>
      <w:ind w:left="227" w:hanging="227"/>
    </w:pPr>
    <w:rPr>
      <w:sz w:val="14"/>
      <w:szCs w:val="20"/>
    </w:rPr>
  </w:style>
  <w:style w:type="character" w:styleId="a5">
    <w:name w:val="footnote reference"/>
    <w:semiHidden/>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6">
    <w:name w:val="endnote reference"/>
    <w:semiHidden/>
    <w:rsid w:val="00943386"/>
    <w:rPr>
      <w:vertAlign w:val="superscript"/>
    </w:rPr>
  </w:style>
  <w:style w:type="paragraph" w:customStyle="1" w:styleId="TableBlockOutdent">
    <w:name w:val="Table BlockOutdent"/>
    <w:basedOn w:val="TableBlock"/>
    <w:rsid w:val="00943386"/>
    <w:pPr>
      <w:ind w:left="624" w:hanging="624"/>
    </w:pPr>
  </w:style>
  <w:style w:type="paragraph" w:styleId="a7">
    <w:name w:val="header"/>
    <w:basedOn w:val="a"/>
    <w:rsid w:val="00943386"/>
    <w:pPr>
      <w:tabs>
        <w:tab w:val="center" w:pos="4153"/>
        <w:tab w:val="right" w:pos="8306"/>
      </w:tabs>
    </w:pPr>
  </w:style>
  <w:style w:type="paragraph" w:styleId="a8">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character" w:customStyle="1" w:styleId="10">
    <w:name w:val="כותרת 1 תו"/>
    <w:basedOn w:val="a0"/>
    <w:link w:val="1"/>
    <w:uiPriority w:val="99"/>
    <w:rsid w:val="00FA1835"/>
    <w:rPr>
      <w:rFonts w:eastAsia="Times New Roman" w:cs="David"/>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46728">
      <w:bodyDiv w:val="1"/>
      <w:marLeft w:val="0"/>
      <w:marRight w:val="0"/>
      <w:marTop w:val="0"/>
      <w:marBottom w:val="0"/>
      <w:divBdr>
        <w:top w:val="none" w:sz="0" w:space="0" w:color="auto"/>
        <w:left w:val="none" w:sz="0" w:space="0" w:color="auto"/>
        <w:bottom w:val="none" w:sz="0" w:space="0" w:color="auto"/>
        <w:right w:val="none" w:sz="0" w:space="0" w:color="auto"/>
      </w:divBdr>
    </w:div>
    <w:div w:id="1659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6FE45364FA8EB4FBEC0B966165873B1" ma:contentTypeVersion="0" ma:contentTypeDescription="צור מסמך חדש." ma:contentTypeScope="" ma:versionID="a3747a42eb9d5f788bff01a6054f17ab">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7E04A-0CB8-48A3-9CAE-812362B21265}"/>
</file>

<file path=customXml/itemProps2.xml><?xml version="1.0" encoding="utf-8"?>
<ds:datastoreItem xmlns:ds="http://schemas.openxmlformats.org/officeDocument/2006/customXml" ds:itemID="{53CDC32B-DD97-493E-9196-3EF77D6F9C7D}"/>
</file>

<file path=customXml/itemProps3.xml><?xml version="1.0" encoding="utf-8"?>
<ds:datastoreItem xmlns:ds="http://schemas.openxmlformats.org/officeDocument/2006/customXml" ds:itemID="{88F4AFE3-9455-419C-8851-785A55F44517}"/>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2316</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אבו דבאי סאהר</dc:creator>
  <cp:lastModifiedBy>לילך יעיש</cp:lastModifiedBy>
  <cp:revision>2</cp:revision>
  <cp:lastPrinted>2014-11-27T11:09:00Z</cp:lastPrinted>
  <dcterms:created xsi:type="dcterms:W3CDTF">2014-11-27T11:10:00Z</dcterms:created>
  <dcterms:modified xsi:type="dcterms:W3CDTF">2014-11-27T11:10:00Z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0x01010046FE45364FA8EB4FBEC0B966165873B1</vt:lpwstr>
  </property>
</Properties>
</file>