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2012925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איציק שמולי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ישראל אייכלר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נחמן שי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נורית קורן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דב חנין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מרב מיכאלי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יואל חסון</w:t>
      </w:r>
      <w:bookmarkEnd w:id="3"/>
    </w:p>
    <w:p w14:paraId="34DB4103" w14:textId="4C0A97D1" w:rsidR="00904591" w:rsidRPr="00904591" w:rsidRDefault="007D585A" w:rsidP="00DE1B2F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="00266D86">
        <w:t>___</w:t>
      </w:r>
      <w:r w:rsidR="00E374F2">
        <w:t>__</w:t>
      </w:r>
      <w:r w:rsidR="00266D86">
        <w:t>_</w:t>
      </w:r>
      <w:r w:rsidR="00DE1B2F">
        <w:t>_______________________________</w:t>
      </w:r>
      <w:r w:rsidR="00266D86">
        <w:t>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5" w:name="Private_Number"/>
      <w:r>
        <w:rPr>
          <w:rFonts w:hint="cs"/>
          <w:rtl/>
        </w:rPr>
        <w:t>פ/4122/20</w:t>
      </w:r>
      <w:bookmarkEnd w:id="5"/>
    </w:p>
    <w:p w14:paraId="7F6961AD" w14:textId="22AB301C" w:rsidR="00E13C27" w:rsidRPr="00F67051" w:rsidRDefault="00A443CF" w:rsidP="0021633A">
      <w:pPr>
        <w:pStyle w:val="HeadHatzaotHok"/>
        <w:rPr>
          <w:rtl/>
        </w:rPr>
      </w:pPr>
      <w:bookmarkStart w:id="6" w:name="LGS_Subject"/>
      <w:r>
        <w:rPr>
          <w:rFonts w:hint="cs"/>
          <w:rtl/>
        </w:rPr>
        <w:t>הצעת חוק הגנת הצרכן (תיקון – מענה אנושי בשירות טלפוני לאזרח ותיק), התשע"ז–2017</w:t>
      </w:r>
      <w:bookmarkEnd w:id="6"/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624"/>
        <w:gridCol w:w="7144"/>
      </w:tblGrid>
      <w:tr w:rsidR="002F1D80" w14:paraId="3D9B61D1" w14:textId="77777777" w:rsidTr="00F33460">
        <w:trPr>
          <w:cantSplit/>
        </w:trPr>
        <w:tc>
          <w:tcPr>
            <w:tcW w:w="1870" w:type="dxa"/>
          </w:tcPr>
          <w:p w14:paraId="6C0CB9D8" w14:textId="37169A03" w:rsidR="002F1D80" w:rsidRDefault="00807225" w:rsidP="002C3041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 סעיף 18ב</w:t>
            </w:r>
          </w:p>
        </w:tc>
        <w:tc>
          <w:tcPr>
            <w:tcW w:w="624" w:type="dxa"/>
          </w:tcPr>
          <w:p w14:paraId="3F4286A2" w14:textId="3EC057B0" w:rsidR="002F1D80" w:rsidRDefault="00807225" w:rsidP="002C3041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4" w:type="dxa"/>
          </w:tcPr>
          <w:p w14:paraId="7633D5BB" w14:textId="7A572CC7" w:rsidR="002F1D80" w:rsidRPr="00C34DE2" w:rsidRDefault="00807225" w:rsidP="00F33460">
            <w:pPr>
              <w:pStyle w:val="TableBlock"/>
            </w:pPr>
            <w:r w:rsidRPr="00796A18">
              <w:rPr>
                <w:spacing w:val="-6"/>
                <w:sz w:val="26"/>
                <w:rtl/>
              </w:rPr>
              <w:t>ב</w:t>
            </w:r>
            <w:r w:rsidRPr="00E30A77">
              <w:rPr>
                <w:rtl/>
              </w:rPr>
              <w:t>חוק הגנת הצרכן, התשמ"א–1981</w:t>
            </w:r>
            <w:r w:rsidRPr="00E30A77">
              <w:rPr>
                <w:sz w:val="10"/>
                <w:szCs w:val="16"/>
                <w:rtl/>
              </w:rPr>
              <w:footnoteReference w:id="2"/>
            </w:r>
            <w:r w:rsidRPr="001B3CD4">
              <w:rPr>
                <w:rtl/>
              </w:rPr>
              <w:t xml:space="preserve">, </w:t>
            </w:r>
            <w:r w:rsidRPr="001B3CD4">
              <w:rPr>
                <w:rFonts w:hint="eastAsia"/>
                <w:rtl/>
              </w:rPr>
              <w:t>בסעיף</w:t>
            </w:r>
            <w:r w:rsidRPr="001B3CD4">
              <w:rPr>
                <w:rtl/>
              </w:rPr>
              <w:t xml:space="preserve"> 18ב</w:t>
            </w:r>
            <w:r w:rsidR="00697D2C" w:rsidRPr="001B3CD4">
              <w:rPr>
                <w:rtl/>
              </w:rPr>
              <w:t>(</w:t>
            </w:r>
            <w:r w:rsidR="00697D2C" w:rsidRPr="001B3CD4">
              <w:rPr>
                <w:rFonts w:hint="eastAsia"/>
                <w:rtl/>
              </w:rPr>
              <w:t>א</w:t>
            </w:r>
            <w:r w:rsidR="00697D2C" w:rsidRPr="001B3CD4">
              <w:rPr>
                <w:rtl/>
              </w:rPr>
              <w:t xml:space="preserve">), </w:t>
            </w:r>
            <w:r w:rsidR="001B3CD4">
              <w:rPr>
                <w:rFonts w:hint="cs"/>
                <w:rtl/>
              </w:rPr>
              <w:t>בפסקה (1), בסופה יבוא "היה הצרכן אזרח ותיק כהגדרתו בסעיף 14ג1</w:t>
            </w:r>
            <w:r w:rsidR="00F33460">
              <w:rPr>
                <w:rFonts w:hint="cs"/>
                <w:rtl/>
              </w:rPr>
              <w:t xml:space="preserve"> </w:t>
            </w:r>
            <w:r w:rsidR="001B3CD4">
              <w:rPr>
                <w:rtl/>
              </w:rPr>
              <w:t>–</w:t>
            </w:r>
            <w:r w:rsidR="001B3CD4">
              <w:rPr>
                <w:rFonts w:hint="cs"/>
                <w:rtl/>
              </w:rPr>
              <w:t xml:space="preserve"> יספק שירות טלפוני באמצעות מענה אנושי, מיד לאחר הזיהוי הראשוני של הצרכן."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7F6961CB" w14:textId="30CD0C75" w:rsidR="00E13C27" w:rsidRDefault="00A310E5" w:rsidP="00DE1B2F">
      <w:pPr>
        <w:pStyle w:val="Hesber"/>
        <w:spacing w:line="276" w:lineRule="auto"/>
        <w:rPr>
          <w:rtl/>
        </w:rPr>
      </w:pPr>
      <w:r>
        <w:rPr>
          <w:rFonts w:hint="cs"/>
          <w:rtl/>
        </w:rPr>
        <w:t>לפי סעיף 18</w:t>
      </w:r>
      <w:r w:rsidR="00F33460">
        <w:rPr>
          <w:rFonts w:hint="cs"/>
          <w:rtl/>
        </w:rPr>
        <w:t>ב</w:t>
      </w:r>
      <w:r>
        <w:rPr>
          <w:rFonts w:hint="cs"/>
          <w:rtl/>
        </w:rPr>
        <w:t xml:space="preserve"> לחוק הגנת הצרכן, התשמ"א</w:t>
      </w:r>
      <w:r>
        <w:rPr>
          <w:rtl/>
        </w:rPr>
        <w:t>–</w:t>
      </w:r>
      <w:r>
        <w:rPr>
          <w:rFonts w:hint="cs"/>
          <w:rtl/>
        </w:rPr>
        <w:t>1981</w:t>
      </w:r>
      <w:r w:rsidR="00995DE9">
        <w:rPr>
          <w:rFonts w:hint="cs"/>
          <w:rtl/>
        </w:rPr>
        <w:t xml:space="preserve"> (להלן </w:t>
      </w:r>
      <w:r w:rsidR="00995DE9">
        <w:rPr>
          <w:rtl/>
        </w:rPr>
        <w:t>–</w:t>
      </w:r>
      <w:r w:rsidR="00995DE9">
        <w:rPr>
          <w:rFonts w:hint="cs"/>
          <w:rtl/>
        </w:rPr>
        <w:t xml:space="preserve"> החוק)</w:t>
      </w:r>
      <w:r w:rsidR="00F33460">
        <w:rPr>
          <w:rFonts w:hint="cs"/>
          <w:rtl/>
        </w:rPr>
        <w:t>, עוסקים שונים המנויים בתוספת השני</w:t>
      </w:r>
      <w:r w:rsidR="00995DE9">
        <w:rPr>
          <w:rFonts w:hint="cs"/>
          <w:rtl/>
        </w:rPr>
        <w:t>י</w:t>
      </w:r>
      <w:r w:rsidR="00F33460">
        <w:rPr>
          <w:rFonts w:hint="cs"/>
          <w:rtl/>
        </w:rPr>
        <w:t>ה לחוק חייבים לספק</w:t>
      </w:r>
      <w:r w:rsidR="00697D2C">
        <w:rPr>
          <w:rFonts w:hint="cs"/>
          <w:rtl/>
        </w:rPr>
        <w:t xml:space="preserve"> </w:t>
      </w:r>
      <w:r>
        <w:rPr>
          <w:rFonts w:hint="cs"/>
          <w:rtl/>
        </w:rPr>
        <w:t>מענה טלפוני חינם לשם מתן שירות מסוגים שונים ללקוחותיהן: שירות טכני, שירות בנושאי חשבוניות וכדומה. החוק מגדיר כי השירות הטלפוני יכלול גם מענה אנושי.</w:t>
      </w:r>
    </w:p>
    <w:p w14:paraId="29D5BC67" w14:textId="1A2EA7C5" w:rsidR="00A310E5" w:rsidRDefault="00A310E5" w:rsidP="00DE1B2F">
      <w:pPr>
        <w:pStyle w:val="Hesber"/>
        <w:spacing w:line="276" w:lineRule="auto"/>
        <w:rPr>
          <w:rtl/>
        </w:rPr>
      </w:pPr>
      <w:r>
        <w:rPr>
          <w:rFonts w:hint="cs"/>
          <w:rtl/>
        </w:rPr>
        <w:t>מדובר בחברות שמטפלות בקהל לקוחות גדול, ומספקות שירותים בסיסיים וחשובים לכל אדם, כגון חברות הכבלים והלוויין, חברות הסלולר והתקשורת, חברות גז, חברת החשמל, תאגידי המים, חברות אינטרנט וקופות חולים.</w:t>
      </w:r>
    </w:p>
    <w:p w14:paraId="6B3E4D02" w14:textId="4364975A" w:rsidR="00A310E5" w:rsidRDefault="00A310E5" w:rsidP="00DE1B2F">
      <w:pPr>
        <w:pStyle w:val="Hesber"/>
        <w:spacing w:line="276" w:lineRule="auto"/>
        <w:rPr>
          <w:rtl/>
        </w:rPr>
      </w:pPr>
      <w:r>
        <w:rPr>
          <w:rFonts w:hint="cs"/>
          <w:rtl/>
        </w:rPr>
        <w:t>בשנים האחרונות כל החברות במשק מפעילות מערכות לניתוב שיחות, שבהן על הלקוח להקליד אמצעי זיהוי (תעודת זהות</w:t>
      </w:r>
      <w:r w:rsidR="00CE585C">
        <w:rPr>
          <w:rFonts w:hint="cs"/>
          <w:rtl/>
        </w:rPr>
        <w:t xml:space="preserve"> או </w:t>
      </w:r>
      <w:r>
        <w:rPr>
          <w:rFonts w:hint="cs"/>
          <w:rtl/>
        </w:rPr>
        <w:t>מספר טלפון) ולנווט עצמו בין התפריטים השונים, אשר לרוב אינם פשוטים להבנה</w:t>
      </w:r>
      <w:r w:rsidR="00CE585C">
        <w:rPr>
          <w:rFonts w:hint="cs"/>
          <w:rtl/>
        </w:rPr>
        <w:t>, עד כי ההגעה למענה אנושי הופכת</w:t>
      </w:r>
      <w:r>
        <w:rPr>
          <w:rFonts w:hint="cs"/>
          <w:rtl/>
        </w:rPr>
        <w:t xml:space="preserve"> קשה במיוחד. קושי זה כבד ביתר שאת עבור אזרחים ותיקים, אשר במקרים רבים פשוט מתייאשים, מוותרים ומנתקים את השיחה בתסכול, זאת בלי שקיבלו את השירות </w:t>
      </w:r>
      <w:r w:rsidR="00CE585C">
        <w:rPr>
          <w:rFonts w:hint="cs"/>
          <w:rtl/>
        </w:rPr>
        <w:t xml:space="preserve">לו הם נדרשים. </w:t>
      </w:r>
    </w:p>
    <w:p w14:paraId="06A3487B" w14:textId="300967AE" w:rsidR="00A310E5" w:rsidRDefault="00A310E5" w:rsidP="00DE1B2F">
      <w:pPr>
        <w:pStyle w:val="Hesber"/>
        <w:spacing w:line="276" w:lineRule="auto"/>
        <w:rPr>
          <w:rtl/>
        </w:rPr>
      </w:pPr>
      <w:r>
        <w:rPr>
          <w:rFonts w:hint="cs"/>
          <w:rtl/>
        </w:rPr>
        <w:t xml:space="preserve">הצעת חוק זו נועדה להקל על ציבור האזרחים הוותיקים. מוצע לקבוע כי במצב שבו המערכת מזהה </w:t>
      </w:r>
      <w:r>
        <w:rPr>
          <w:rFonts w:hint="cs"/>
          <w:rtl/>
        </w:rPr>
        <w:lastRenderedPageBreak/>
        <w:t xml:space="preserve">לפי שיחה מזוהה או לפי הקשת פרטי הזיהוי כי מדובר בלקוח שהוא אזרח ותיק, יופנה הפונה מידית לנציג שירות אנושי, זאת בלי שיתבקש להקיש על כל מקש נוסף. </w:t>
      </w:r>
    </w:p>
    <w:p w14:paraId="34C6EC93" w14:textId="62E41268" w:rsidR="00917145" w:rsidRDefault="00917145" w:rsidP="00DE1B2F">
      <w:pPr>
        <w:pStyle w:val="Hesber"/>
        <w:spacing w:line="276" w:lineRule="auto"/>
        <w:rPr>
          <w:rtl/>
        </w:rPr>
      </w:pPr>
      <w:r>
        <w:rPr>
          <w:rFonts w:hint="cs"/>
          <w:rtl/>
        </w:rPr>
        <w:t>כך יוכלו האזרחים הוותיקים לקבל את השירות שאותו הם צריכים בנוחות, ללא טרטורים ותסכולים מיותרים.</w:t>
      </w:r>
    </w:p>
    <w:p w14:paraId="6873C797" w14:textId="77777777" w:rsidR="009E2904" w:rsidRPr="00D73212" w:rsidRDefault="009E2904" w:rsidP="009E2904">
      <w:pPr>
        <w:pStyle w:val="Hesber"/>
        <w:rPr>
          <w:color w:val="auto"/>
          <w:rtl/>
          <w:lang w:eastAsia="en-US"/>
        </w:rPr>
      </w:pPr>
      <w:r w:rsidRPr="00D73212">
        <w:rPr>
          <w:color w:val="auto"/>
          <w:rtl/>
          <w:lang w:eastAsia="en-US"/>
        </w:rPr>
        <w:t>---------------------------------</w:t>
      </w:r>
    </w:p>
    <w:p w14:paraId="3CBCCA0A" w14:textId="77777777" w:rsidR="009E2904" w:rsidRPr="00D73212" w:rsidRDefault="009E2904" w:rsidP="009E2904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הוגשה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ליו</w:t>
      </w:r>
      <w:r w:rsidRPr="00D73212">
        <w:rPr>
          <w:color w:val="auto"/>
          <w:rtl/>
          <w:lang w:eastAsia="en-US"/>
        </w:rPr>
        <w:t>"</w:t>
      </w:r>
      <w:r w:rsidRPr="00D73212">
        <w:rPr>
          <w:rFonts w:hint="cs"/>
          <w:color w:val="auto"/>
          <w:rtl/>
          <w:lang w:eastAsia="en-US"/>
        </w:rPr>
        <w:t>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והסגנים</w:t>
      </w:r>
    </w:p>
    <w:p w14:paraId="319FC7D6" w14:textId="77777777" w:rsidR="009E2904" w:rsidRPr="00D73212" w:rsidRDefault="009E2904" w:rsidP="009E2904">
      <w:pPr>
        <w:pStyle w:val="Hesber"/>
        <w:rPr>
          <w:color w:val="auto"/>
          <w:rtl/>
          <w:lang w:eastAsia="en-US"/>
        </w:rPr>
      </w:pPr>
      <w:r w:rsidRPr="00D73212">
        <w:rPr>
          <w:rFonts w:hint="cs"/>
          <w:color w:val="auto"/>
          <w:rtl/>
          <w:lang w:eastAsia="en-US"/>
        </w:rPr>
        <w:t>והונחה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על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שולחן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הכנסת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ביום</w:t>
      </w:r>
    </w:p>
    <w:p w14:paraId="59C22D4A" w14:textId="77777777" w:rsidR="009E2904" w:rsidRPr="00317312" w:rsidRDefault="009E2904" w:rsidP="009E2904">
      <w:pPr>
        <w:pStyle w:val="Hesber"/>
      </w:pPr>
      <w:r>
        <w:rPr>
          <w:rFonts w:hint="cs"/>
          <w:color w:val="auto"/>
          <w:rtl/>
          <w:lang w:eastAsia="en-US"/>
        </w:rPr>
        <w:t>כ"ד באדר</w:t>
      </w:r>
      <w:r w:rsidRPr="00D73212">
        <w:rPr>
          <w:color w:val="auto"/>
          <w:rtl/>
          <w:lang w:eastAsia="en-US"/>
        </w:rPr>
        <w:t xml:space="preserve"> </w:t>
      </w:r>
      <w:r w:rsidRPr="00D73212">
        <w:rPr>
          <w:rFonts w:hint="cs"/>
          <w:color w:val="auto"/>
          <w:rtl/>
          <w:lang w:eastAsia="en-US"/>
        </w:rPr>
        <w:t>התשע</w:t>
      </w:r>
      <w:r w:rsidRPr="00D73212">
        <w:rPr>
          <w:color w:val="auto"/>
          <w:rtl/>
          <w:lang w:eastAsia="en-US"/>
        </w:rPr>
        <w:t>"</w:t>
      </w:r>
      <w:r>
        <w:rPr>
          <w:rFonts w:hint="cs"/>
          <w:color w:val="auto"/>
          <w:rtl/>
          <w:lang w:eastAsia="en-US"/>
        </w:rPr>
        <w:t>ז</w:t>
      </w:r>
      <w:r w:rsidRPr="00D73212">
        <w:rPr>
          <w:color w:val="auto"/>
          <w:rtl/>
          <w:lang w:eastAsia="en-US"/>
        </w:rPr>
        <w:t xml:space="preserve"> – </w:t>
      </w:r>
      <w:r>
        <w:rPr>
          <w:rFonts w:hint="cs"/>
          <w:color w:val="auto"/>
          <w:rtl/>
          <w:lang w:eastAsia="en-US"/>
        </w:rPr>
        <w:t>22.3</w:t>
      </w:r>
      <w:r w:rsidRPr="00D73212">
        <w:rPr>
          <w:color w:val="auto"/>
          <w:rtl/>
          <w:lang w:eastAsia="en-US"/>
        </w:rPr>
        <w:t>.</w:t>
      </w:r>
      <w:r>
        <w:rPr>
          <w:rFonts w:hint="cs"/>
          <w:color w:val="auto"/>
          <w:rtl/>
          <w:lang w:eastAsia="en-US"/>
        </w:rPr>
        <w:t>17</w:t>
      </w:r>
      <w:bookmarkStart w:id="7" w:name="_GoBack"/>
      <w:bookmarkEnd w:id="7"/>
    </w:p>
    <w:sectPr w:rsidR="009E2904" w:rsidRPr="00317312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8A69" w14:textId="77777777" w:rsidR="00A942C1" w:rsidRDefault="00A942C1">
      <w:r>
        <w:separator/>
      </w:r>
    </w:p>
  </w:endnote>
  <w:endnote w:type="continuationSeparator" w:id="0">
    <w:p w14:paraId="318F26FB" w14:textId="77777777" w:rsidR="00A942C1" w:rsidRDefault="00A942C1">
      <w:r>
        <w:continuationSeparator/>
      </w:r>
    </w:p>
  </w:endnote>
  <w:endnote w:type="continuationNotice" w:id="1">
    <w:p w14:paraId="6BE48FD5" w14:textId="77777777" w:rsidR="00A942C1" w:rsidRDefault="00A942C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DE1B2F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7B9F2" w14:textId="77777777" w:rsidR="00A942C1" w:rsidRDefault="00A942C1">
      <w:r>
        <w:separator/>
      </w:r>
    </w:p>
  </w:footnote>
  <w:footnote w:type="continuationSeparator" w:id="0">
    <w:p w14:paraId="3DB92342" w14:textId="77777777" w:rsidR="00A942C1" w:rsidRDefault="00A942C1">
      <w:r>
        <w:continuationSeparator/>
      </w:r>
    </w:p>
  </w:footnote>
  <w:footnote w:type="continuationNotice" w:id="1">
    <w:p w14:paraId="16009878" w14:textId="77777777" w:rsidR="00A942C1" w:rsidRDefault="00A942C1"/>
  </w:footnote>
  <w:footnote w:id="2">
    <w:p w14:paraId="53682B67" w14:textId="77777777" w:rsidR="00807225" w:rsidRDefault="00807225" w:rsidP="00807225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tl/>
        </w:rPr>
        <w:tab/>
        <w:t>ס"ח התשמ"א, עמ' 248.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6689D"/>
    <w:rsid w:val="00072CAC"/>
    <w:rsid w:val="00072E01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B3CD4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958F1"/>
    <w:rsid w:val="005B064E"/>
    <w:rsid w:val="005D51AE"/>
    <w:rsid w:val="0062674B"/>
    <w:rsid w:val="006363B2"/>
    <w:rsid w:val="00644940"/>
    <w:rsid w:val="006818A9"/>
    <w:rsid w:val="00697D2C"/>
    <w:rsid w:val="006A2D81"/>
    <w:rsid w:val="006C1D0D"/>
    <w:rsid w:val="0070601E"/>
    <w:rsid w:val="00712C72"/>
    <w:rsid w:val="00735FE9"/>
    <w:rsid w:val="00763CAA"/>
    <w:rsid w:val="00765F66"/>
    <w:rsid w:val="0078664F"/>
    <w:rsid w:val="007C3FA6"/>
    <w:rsid w:val="007D585A"/>
    <w:rsid w:val="007D5A12"/>
    <w:rsid w:val="007E2DF2"/>
    <w:rsid w:val="007E59F9"/>
    <w:rsid w:val="00807225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17145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95DE9"/>
    <w:rsid w:val="009A0DB8"/>
    <w:rsid w:val="009A7257"/>
    <w:rsid w:val="009D6E0A"/>
    <w:rsid w:val="009E1E33"/>
    <w:rsid w:val="009E2904"/>
    <w:rsid w:val="00A14672"/>
    <w:rsid w:val="00A26BD6"/>
    <w:rsid w:val="00A310E5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9176A"/>
    <w:rsid w:val="00CE585C"/>
    <w:rsid w:val="00CF1AA2"/>
    <w:rsid w:val="00D17774"/>
    <w:rsid w:val="00D63620"/>
    <w:rsid w:val="00D8410D"/>
    <w:rsid w:val="00D867D7"/>
    <w:rsid w:val="00DB7060"/>
    <w:rsid w:val="00DE1B2F"/>
    <w:rsid w:val="00DE3153"/>
    <w:rsid w:val="00E06736"/>
    <w:rsid w:val="00E13C27"/>
    <w:rsid w:val="00E30A77"/>
    <w:rsid w:val="00E33BBD"/>
    <w:rsid w:val="00E374F2"/>
    <w:rsid w:val="00E45103"/>
    <w:rsid w:val="00E45C3B"/>
    <w:rsid w:val="00E55A60"/>
    <w:rsid w:val="00E62778"/>
    <w:rsid w:val="00E63D38"/>
    <w:rsid w:val="00E665B9"/>
    <w:rsid w:val="00EA01E6"/>
    <w:rsid w:val="00EA3DE8"/>
    <w:rsid w:val="00EA758F"/>
    <w:rsid w:val="00ED4A6F"/>
    <w:rsid w:val="00EF3A3A"/>
    <w:rsid w:val="00F33460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E7CC2A52-7C30-40EF-A06A-B08F5C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9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06689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06689D"/>
    <w:rPr>
      <w:sz w:val="36"/>
      <w:szCs w:val="52"/>
    </w:rPr>
  </w:style>
  <w:style w:type="paragraph" w:customStyle="1" w:styleId="Cover3-Haknesset">
    <w:name w:val="Cover 3-Haknesset"/>
    <w:basedOn w:val="Cover1-Reshumot"/>
    <w:rsid w:val="0006689D"/>
    <w:rPr>
      <w:b/>
      <w:bCs/>
      <w:spacing w:val="60"/>
    </w:rPr>
  </w:style>
  <w:style w:type="paragraph" w:customStyle="1" w:styleId="Cover4-Date">
    <w:name w:val="Cover 4-Date"/>
    <w:basedOn w:val="a"/>
    <w:rsid w:val="0006689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06689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06689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06689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06689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06689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06689D"/>
  </w:style>
  <w:style w:type="paragraph" w:customStyle="1" w:styleId="TableBlock">
    <w:name w:val="Table Block"/>
    <w:basedOn w:val="TableText"/>
    <w:rsid w:val="0006689D"/>
    <w:pPr>
      <w:ind w:right="0"/>
      <w:jc w:val="both"/>
    </w:pPr>
  </w:style>
  <w:style w:type="paragraph" w:customStyle="1" w:styleId="TableHead">
    <w:name w:val="Table Head"/>
    <w:basedOn w:val="TableText"/>
    <w:rsid w:val="0006689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06689D"/>
  </w:style>
  <w:style w:type="paragraph" w:customStyle="1" w:styleId="Hesber">
    <w:name w:val="Hesber"/>
    <w:basedOn w:val="a"/>
    <w:rsid w:val="0006689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semiHidden/>
    <w:rsid w:val="0006689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aliases w:val="Footnote Reference"/>
    <w:basedOn w:val="a0"/>
    <w:semiHidden/>
    <w:rsid w:val="0006689D"/>
    <w:rPr>
      <w:vertAlign w:val="superscript"/>
    </w:rPr>
  </w:style>
  <w:style w:type="paragraph" w:customStyle="1" w:styleId="HesberHeading">
    <w:name w:val="Hesber Heading"/>
    <w:basedOn w:val="Hesber"/>
    <w:rsid w:val="0006689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06689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06689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06689D"/>
    <w:rPr>
      <w:vertAlign w:val="superscript"/>
    </w:rPr>
  </w:style>
  <w:style w:type="paragraph" w:customStyle="1" w:styleId="TableBlockOutdent">
    <w:name w:val="Table BlockOutdent"/>
    <w:basedOn w:val="TableBlock"/>
    <w:rsid w:val="0006689D"/>
    <w:pPr>
      <w:ind w:left="624" w:hanging="624"/>
    </w:pPr>
  </w:style>
  <w:style w:type="paragraph" w:styleId="a8">
    <w:name w:val="header"/>
    <w:basedOn w:val="a"/>
    <w:rsid w:val="0006689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06689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06689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06689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06689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link w:val="a4"/>
    <w:semiHidden/>
    <w:locked/>
    <w:rsid w:val="00807225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0AE40-A55A-4CB9-801C-FAD9621C0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4AFE3-9455-419C-8851-785A55F44517}">
  <ds:schemaRefs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42C6007-1560-48DC-88E6-B9C4E0EA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303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אילת וולברג</cp:lastModifiedBy>
  <cp:revision>15</cp:revision>
  <cp:lastPrinted>2017-02-26T08:50:00Z</cp:lastPrinted>
  <dcterms:created xsi:type="dcterms:W3CDTF">2015-04-20T09:58:00Z</dcterms:created>
  <dcterms:modified xsi:type="dcterms:W3CDTF">2017-03-21T17:59:00Z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2012925</vt:r8>
  </property>
</Properties>
</file>