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כ"א באייר התשע"ו</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29 במאי, 2016</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3628</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כוונותיה של הממונה על ההגבלים העסקיים להתיר גביית מחיר מופרז ולהפסיק להכריז על מונופולים</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הממונה החדשה על ההגבלים העסקיים מיכל הלפרין, שנגועה בניגוד עניינים מהותי עם החברות הגדולות במשק, קיבלה לאחרונה שתי החלטות בעלות פוטנציאל הרסני למאבק ביוקר המחיה הגואה. הראשונה היא ההחלטה התמוהה להפסיק את תהליכי האיתור וההכרזה על חברה כמונופול, והשניה היא הצעתה של הממונה לא לאכוף את האיסור על קביעת מחיר מופרז</w:t>
      </w:r>
      <w:dir w:val="ltr">
        <w:r>
          <w:rPr>
            <w:rFonts w:ascii="Tahoma" w:hAnsi="Tahoma" w:cs="David" w:hint="cs"/>
            <w:sz w:val="24"/>
            <w:szCs w:val="24"/>
            <w:rtl/>
          </w:rPr>
          <w:t>.</w:t>
        </w:r>
        <w:r>
          <w:rPr>
            <w:rFonts w:ascii="Tahoma" w:hAnsi="Tahoma" w:cs="David" w:hint="cs"/>
            <w:sz w:val="24"/>
            <w:szCs w:val="24"/>
            <w:rtl/>
          </w:rPr>
          <w:t>‬</w:t>
        </w:r>
        <w:r>
          <w:br/>
        </w:r>
        <w:r>
          <w:rPr>
            <w:rFonts w:ascii="Tahoma" w:hAnsi="Tahoma" w:cs="David" w:hint="cs"/>
            <w:sz w:val="24"/>
            <w:szCs w:val="24"/>
            <w:rtl/>
          </w:rPr>
          <w:t>נראה שבכוונתה של הלפרין להפקיע מידי הרשות להגבלים עסקיים את הכלים האפקטיביים ביותר שלה במאבק ביוקר המחיה וריכוזיות המשק.</w:t>
        </w:r>
        <w:r>
          <w:br/>
        </w:r>
        <w:r>
          <w:rPr>
            <w:rFonts w:ascii="Tahoma" w:hAnsi="Tahoma" w:cs="David" w:hint="cs"/>
            <w:sz w:val="24"/>
            <w:szCs w:val="24"/>
            <w:rtl/>
          </w:rPr>
          <w:t>מן הראוי כי ועדת הכלכלה תקיים דיון דחוף במטרה לדון בהחלטותיה של הממונה להתיר גביית מחיר מופרז ולהפסיק להכריז על מונופולים.</w:t>
        </w:r>
        <w:bookmarkEnd w:id="8"/>
      </w:dir>
    </w:p>
    <w:p w14:paraId="4B0CDD69" w14:textId="77777777" w:rsidR="00952F74" w:rsidRDefault="00952F74" w:rsidP="00952F74">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מיקי רוזנטל</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 w:val="00B33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24D46-D257-40E7-92AC-951D02DCCEF0}"/>
</file>

<file path=customXml/itemProps2.xml><?xml version="1.0" encoding="utf-8"?>
<ds:datastoreItem xmlns:ds="http://schemas.openxmlformats.org/officeDocument/2006/customXml" ds:itemID="{BFEC8521-98FC-42CF-BCCF-FB1B5CF1A56D}"/>
</file>

<file path=customXml/itemProps3.xml><?xml version="1.0" encoding="utf-8"?>
<ds:datastoreItem xmlns:ds="http://schemas.openxmlformats.org/officeDocument/2006/customXml" ds:itemID="{8A1F6F45-C753-4B37-AEC2-39D40EEC47E7}"/>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720</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כוכי שבתאי</cp:lastModifiedBy>
  <cp:revision>2</cp:revision>
  <dcterms:created xsi:type="dcterms:W3CDTF">2016-06-01T10:52:00Z</dcterms:created>
  <dcterms:modified xsi:type="dcterms:W3CDTF">2016-06-01T10:52:00Z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80aa8c7b-315c-4a78-b833-e931b09d14e0</vt:lpwstr>
  </property>
  <property fmtid="{D5CDD505-2E9C-101B-9397-08002B2CF9AE}" pid="4" name="SanhedrinDocumentType">
    <vt:r8>88</vt:r8>
  </property>
  <property fmtid="{D5CDD505-2E9C-101B-9397-08002B2CF9AE}" pid="5" name="SanhedrinItemID">
    <vt:r8>2003277</vt:r8>
  </property>
</Properties>
</file>