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63E01" w14:textId="77777777" w:rsidR="006243D6" w:rsidRPr="0000131B" w:rsidRDefault="006243D6" w:rsidP="006243D6">
      <w:pPr>
        <w:pStyle w:val="HeadHatzaotHok"/>
        <w:jc w:val="right"/>
        <w:rPr>
          <w:b w:val="0"/>
          <w:bCs w:val="0"/>
          <w:szCs w:val="20"/>
        </w:rPr>
      </w:pPr>
      <w:bookmarkStart w:id="0" w:name="_GoBack"/>
      <w:bookmarkEnd w:id="0"/>
      <w:r w:rsidRPr="0000131B">
        <w:rPr>
          <w:rFonts w:hint="cs"/>
          <w:b w:val="0"/>
          <w:bCs w:val="0"/>
          <w:szCs w:val="20"/>
          <w:rtl/>
        </w:rPr>
        <w:t xml:space="preserve">מספר פנימי: </w:t>
      </w:r>
      <w:bookmarkStart w:id="1" w:name="LGS_Internal_ID"/>
      <w:r>
        <w:rPr>
          <w:rFonts w:hint="cs"/>
          <w:b w:val="0"/>
          <w:bCs w:val="0"/>
          <w:szCs w:val="20"/>
          <w:rtl/>
        </w:rPr>
        <w:t>564579</w:t>
      </w:r>
      <w:bookmarkEnd w:id="1"/>
    </w:p>
    <w:p w14:paraId="07856FCD" w14:textId="77777777" w:rsidR="006243D6" w:rsidRPr="00DB7060" w:rsidRDefault="006243D6" w:rsidP="006243D6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2" w:name="LGS_Knesset_Num"/>
      <w:r>
        <w:rPr>
          <w:rFonts w:hint="cs"/>
          <w:sz w:val="28"/>
          <w:szCs w:val="28"/>
          <w:rtl/>
        </w:rPr>
        <w:t>העשרים</w:t>
      </w:r>
      <w:bookmarkEnd w:id="2"/>
    </w:p>
    <w:p w14:paraId="251ED13C" w14:textId="77777777" w:rsidR="006243D6" w:rsidRPr="00F67051" w:rsidRDefault="006243D6" w:rsidP="006243D6">
      <w:pPr>
        <w:rPr>
          <w:rFonts w:cs="David"/>
          <w:b/>
          <w:bCs/>
          <w:sz w:val="26"/>
          <w:szCs w:val="26"/>
          <w:rtl/>
        </w:rPr>
      </w:pPr>
    </w:p>
    <w:p w14:paraId="2A4DA265" w14:textId="77777777" w:rsidR="006243D6" w:rsidRDefault="006243D6" w:rsidP="006243D6">
      <w:pPr>
        <w:pStyle w:val="David"/>
        <w:spacing w:line="360" w:lineRule="auto"/>
        <w:ind w:left="3544"/>
        <w:rPr>
          <w:b/>
          <w:bCs/>
          <w:rtl/>
        </w:rPr>
      </w:pPr>
      <w:bookmarkStart w:id="3" w:name="LGS_Initiators_List"/>
      <w:r>
        <w:rPr>
          <w:b/>
          <w:bCs/>
          <w:rtl/>
        </w:rPr>
        <w:t>יוזמת:</w:t>
      </w:r>
      <w:r>
        <w:tab/>
      </w:r>
      <w:r>
        <w:rPr>
          <w:b/>
          <w:bCs/>
          <w:rtl/>
        </w:rPr>
        <w:t xml:space="preserve">      חברת הכנסת</w:t>
      </w:r>
      <w:bookmarkEnd w:id="3"/>
      <w:r w:rsidRPr="00F67051">
        <w:rPr>
          <w:b/>
          <w:bCs/>
        </w:rPr>
        <w:tab/>
      </w:r>
      <w:bookmarkStart w:id="4" w:name="LGS_PM_Names"/>
      <w:r>
        <w:rPr>
          <w:rFonts w:hint="cs"/>
          <w:b/>
          <w:bCs/>
          <w:rtl/>
        </w:rPr>
        <w:t>ציפי לבני</w:t>
      </w:r>
      <w:bookmarkEnd w:id="4"/>
    </w:p>
    <w:p w14:paraId="7F5BCDFC" w14:textId="77777777" w:rsidR="006243D6" w:rsidRPr="00CF1AA2" w:rsidRDefault="006243D6" w:rsidP="006243D6">
      <w:pPr>
        <w:pStyle w:val="David"/>
        <w:spacing w:before="0" w:line="360" w:lineRule="auto"/>
        <w:ind w:left="3544"/>
        <w:rPr>
          <w:b/>
          <w:bCs/>
          <w:sz w:val="16"/>
          <w:szCs w:val="16"/>
          <w:rtl/>
        </w:rPr>
      </w:pPr>
      <w:bookmarkStart w:id="5" w:name="LGS_Join_List"/>
      <w:r>
        <w:rPr>
          <w:rtl/>
        </w:rPr>
        <w:t xml:space="preserve"> </w:t>
      </w:r>
      <w:bookmarkEnd w:id="5"/>
      <w:r w:rsidRPr="00CF1AA2">
        <w:rPr>
          <w:rFonts w:hint="cs"/>
          <w:rtl/>
        </w:rPr>
        <w:tab/>
      </w:r>
      <w:bookmarkStart w:id="6" w:name="LGS_PM_NamesJoin"/>
      <w:r>
        <w:rPr>
          <w:rFonts w:hint="cs"/>
          <w:rtl/>
        </w:rPr>
        <w:t xml:space="preserve"> </w:t>
      </w:r>
      <w:bookmarkEnd w:id="6"/>
    </w:p>
    <w:p w14:paraId="7FFA3FD1" w14:textId="77777777" w:rsidR="006243D6" w:rsidRPr="00904591" w:rsidRDefault="006243D6" w:rsidP="006243D6">
      <w:pPr>
        <w:pStyle w:val="David"/>
        <w:spacing w:before="0" w:line="360" w:lineRule="auto"/>
        <w:ind w:left="3544"/>
        <w:rPr>
          <w:sz w:val="4"/>
          <w:szCs w:val="4"/>
          <w:rtl/>
        </w:rPr>
      </w:pPr>
      <w:r>
        <w:t>______________________________________________</w:t>
      </w:r>
      <w:r w:rsidRPr="00E06736">
        <w:tab/>
      </w:r>
      <w:r w:rsidRPr="00E06736">
        <w:rPr>
          <w:rFonts w:hint="cs"/>
          <w:rtl/>
        </w:rPr>
        <w:tab/>
      </w:r>
      <w:r w:rsidRPr="00E06736">
        <w:rPr>
          <w:rFonts w:hint="cs"/>
          <w:rtl/>
        </w:rPr>
        <w:tab/>
      </w:r>
      <w:r w:rsidRPr="00E06736">
        <w:rPr>
          <w:rFonts w:hint="cs"/>
          <w:rtl/>
        </w:rPr>
        <w:tab/>
      </w:r>
      <w:r>
        <w:t xml:space="preserve">           </w:t>
      </w:r>
    </w:p>
    <w:p w14:paraId="3E6F3E1F" w14:textId="77777777" w:rsidR="006243D6" w:rsidRPr="00E06736" w:rsidRDefault="006243D6" w:rsidP="006243D6">
      <w:pPr>
        <w:pStyle w:val="David"/>
        <w:spacing w:before="0" w:line="240" w:lineRule="auto"/>
        <w:ind w:left="3544"/>
        <w:rPr>
          <w:rtl/>
        </w:rPr>
      </w:pPr>
      <w:r>
        <w:t xml:space="preserve">                                             </w:t>
      </w:r>
      <w:bookmarkStart w:id="7" w:name="Private_Number"/>
      <w:r>
        <w:rPr>
          <w:rFonts w:hint="cs"/>
          <w:rtl/>
        </w:rPr>
        <w:t>פ/2136/20</w:t>
      </w:r>
      <w:bookmarkEnd w:id="7"/>
    </w:p>
    <w:p w14:paraId="4CAEF537" w14:textId="77777777" w:rsidR="006243D6" w:rsidRPr="00F67051" w:rsidRDefault="006243D6" w:rsidP="006243D6">
      <w:pPr>
        <w:pStyle w:val="HeadHatzaotHok"/>
        <w:rPr>
          <w:rtl/>
        </w:rPr>
      </w:pPr>
      <w:bookmarkStart w:id="8" w:name="LGS_Subject"/>
      <w:r>
        <w:rPr>
          <w:rFonts w:hint="cs"/>
          <w:rtl/>
        </w:rPr>
        <w:t xml:space="preserve">הצעת חוק נציבות ביקורת על מערך התביעה וייצוג המדינה בערכאות, </w:t>
      </w:r>
      <w:proofErr w:type="spellStart"/>
      <w:r>
        <w:rPr>
          <w:rFonts w:hint="cs"/>
          <w:rtl/>
        </w:rPr>
        <w:t>התשע"ו</w:t>
      </w:r>
      <w:proofErr w:type="spellEnd"/>
      <w:r>
        <w:rPr>
          <w:rFonts w:hint="cs"/>
          <w:rtl/>
        </w:rPr>
        <w:t>–2015</w:t>
      </w:r>
      <w:bookmarkEnd w:id="8"/>
    </w:p>
    <w:p w14:paraId="6F022388" w14:textId="77777777" w:rsidR="006243D6" w:rsidRDefault="006243D6" w:rsidP="006243D6">
      <w:pPr>
        <w:pStyle w:val="HeadDivreiHesber"/>
        <w:spacing w:before="0" w:after="0"/>
        <w:rPr>
          <w:rtl/>
        </w:rPr>
      </w:pPr>
    </w:p>
    <w:tbl>
      <w:tblPr>
        <w:bidiVisual/>
        <w:tblW w:w="9638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624"/>
        <w:gridCol w:w="624"/>
        <w:gridCol w:w="6520"/>
      </w:tblGrid>
      <w:tr w:rsidR="006243D6" w:rsidRPr="002E56F6" w14:paraId="6E65C7CC" w14:textId="77777777" w:rsidTr="006B7E67">
        <w:trPr>
          <w:cantSplit/>
        </w:trPr>
        <w:tc>
          <w:tcPr>
            <w:tcW w:w="1870" w:type="dxa"/>
          </w:tcPr>
          <w:p w14:paraId="401A0F78" w14:textId="77777777" w:rsidR="006243D6" w:rsidRPr="002E56F6" w:rsidRDefault="006243D6" w:rsidP="006B7E67">
            <w:pPr>
              <w:pStyle w:val="TableSideHeading"/>
              <w:keepLines w:val="0"/>
              <w:rPr>
                <w:sz w:val="26"/>
              </w:rPr>
            </w:pPr>
            <w:r w:rsidRPr="002E56F6">
              <w:rPr>
                <w:rFonts w:eastAsia="Times New Roman"/>
                <w:sz w:val="26"/>
                <w:rtl/>
                <w:lang w:eastAsia="en-US"/>
              </w:rPr>
              <w:t>מטרות</w:t>
            </w:r>
          </w:p>
        </w:tc>
        <w:tc>
          <w:tcPr>
            <w:tcW w:w="624" w:type="dxa"/>
          </w:tcPr>
          <w:p w14:paraId="42D03A32" w14:textId="77777777" w:rsidR="006243D6" w:rsidRPr="002E56F6" w:rsidRDefault="006243D6" w:rsidP="006B7E67">
            <w:pPr>
              <w:pStyle w:val="TableText"/>
              <w:keepLines w:val="0"/>
              <w:rPr>
                <w:sz w:val="26"/>
              </w:rPr>
            </w:pPr>
            <w:r w:rsidRPr="002E56F6">
              <w:rPr>
                <w:rFonts w:hint="cs"/>
                <w:sz w:val="26"/>
                <w:rtl/>
              </w:rPr>
              <w:t>1.</w:t>
            </w:r>
          </w:p>
        </w:tc>
        <w:tc>
          <w:tcPr>
            <w:tcW w:w="7144" w:type="dxa"/>
            <w:gridSpan w:val="2"/>
          </w:tcPr>
          <w:p w14:paraId="49557491" w14:textId="77777777" w:rsidR="006243D6" w:rsidRPr="002E56F6" w:rsidRDefault="006243D6" w:rsidP="002E56F6">
            <w:pPr>
              <w:pStyle w:val="TableBlock"/>
            </w:pPr>
            <w:r w:rsidRPr="002E56F6">
              <w:rPr>
                <w:rtl/>
              </w:rPr>
              <w:t>מטרותיו של חוק זה הן:</w:t>
            </w:r>
          </w:p>
        </w:tc>
      </w:tr>
      <w:tr w:rsidR="006243D6" w:rsidRPr="002E56F6" w14:paraId="05D58186" w14:textId="77777777" w:rsidTr="006B7E67">
        <w:trPr>
          <w:cantSplit/>
        </w:trPr>
        <w:tc>
          <w:tcPr>
            <w:tcW w:w="1870" w:type="dxa"/>
          </w:tcPr>
          <w:p w14:paraId="51AED73E" w14:textId="77777777" w:rsidR="006243D6" w:rsidRPr="002E56F6" w:rsidRDefault="006243D6" w:rsidP="006B7E67">
            <w:pPr>
              <w:pStyle w:val="TableSideHeading"/>
              <w:keepLines w:val="0"/>
              <w:rPr>
                <w:rFonts w:eastAsia="Times New Roman"/>
                <w:sz w:val="26"/>
                <w:rtl/>
                <w:lang w:eastAsia="en-US"/>
              </w:rPr>
            </w:pPr>
          </w:p>
        </w:tc>
        <w:tc>
          <w:tcPr>
            <w:tcW w:w="624" w:type="dxa"/>
          </w:tcPr>
          <w:p w14:paraId="3B84425C" w14:textId="77777777" w:rsidR="006243D6" w:rsidRPr="002E56F6" w:rsidRDefault="006243D6" w:rsidP="006B7E67">
            <w:pPr>
              <w:pStyle w:val="TableText"/>
              <w:keepLines w:val="0"/>
              <w:rPr>
                <w:sz w:val="26"/>
                <w:rtl/>
              </w:rPr>
            </w:pPr>
          </w:p>
        </w:tc>
        <w:tc>
          <w:tcPr>
            <w:tcW w:w="7144" w:type="dxa"/>
            <w:gridSpan w:val="2"/>
          </w:tcPr>
          <w:p w14:paraId="5BF29F48" w14:textId="77777777" w:rsidR="006243D6" w:rsidRPr="002E56F6" w:rsidRDefault="006243D6" w:rsidP="002E56F6">
            <w:pPr>
              <w:pStyle w:val="TableBlock"/>
              <w:rPr>
                <w:rtl/>
              </w:rPr>
            </w:pPr>
            <w:r w:rsidRPr="002E56F6">
              <w:rPr>
                <w:rFonts w:hint="cs"/>
                <w:rtl/>
              </w:rPr>
              <w:t>(1)</w:t>
            </w:r>
            <w:r w:rsidRPr="002E56F6">
              <w:rPr>
                <w:rtl/>
              </w:rPr>
              <w:t xml:space="preserve"> </w:t>
            </w:r>
            <w:r w:rsidRPr="002E56F6">
              <w:rPr>
                <w:rFonts w:hint="cs"/>
                <w:rtl/>
              </w:rPr>
              <w:tab/>
            </w:r>
            <w:r w:rsidRPr="002E56F6">
              <w:rPr>
                <w:rtl/>
              </w:rPr>
              <w:t>הקמת מנגנון ביקורת ייעודי, לשיפור פעולתם של הגופים המבוקרים ובירור תלונות כלפיהם, תוך שמירת עצמאותם בהפעלת שיקול דעת</w:t>
            </w:r>
            <w:r w:rsidRPr="002E56F6">
              <w:rPr>
                <w:rFonts w:hint="cs"/>
                <w:rtl/>
              </w:rPr>
              <w:t xml:space="preserve"> </w:t>
            </w:r>
            <w:r w:rsidRPr="002E56F6">
              <w:rPr>
                <w:rtl/>
              </w:rPr>
              <w:t>מקצועי באופן עצמאי וללא מורא</w:t>
            </w:r>
            <w:r w:rsidRPr="002E56F6">
              <w:rPr>
                <w:rFonts w:hint="cs"/>
                <w:rtl/>
              </w:rPr>
              <w:t>;</w:t>
            </w:r>
          </w:p>
        </w:tc>
      </w:tr>
      <w:tr w:rsidR="006243D6" w:rsidRPr="002E56F6" w14:paraId="31CAAE61" w14:textId="77777777" w:rsidTr="006B7E67">
        <w:trPr>
          <w:cantSplit/>
        </w:trPr>
        <w:tc>
          <w:tcPr>
            <w:tcW w:w="1870" w:type="dxa"/>
          </w:tcPr>
          <w:p w14:paraId="6AD6A886" w14:textId="77777777" w:rsidR="006243D6" w:rsidRPr="002E56F6" w:rsidRDefault="006243D6" w:rsidP="006B7E67">
            <w:pPr>
              <w:pStyle w:val="TableSideHeading"/>
              <w:keepLines w:val="0"/>
              <w:rPr>
                <w:rFonts w:eastAsia="Times New Roman"/>
                <w:sz w:val="26"/>
                <w:rtl/>
                <w:lang w:eastAsia="en-US"/>
              </w:rPr>
            </w:pPr>
          </w:p>
        </w:tc>
        <w:tc>
          <w:tcPr>
            <w:tcW w:w="624" w:type="dxa"/>
          </w:tcPr>
          <w:p w14:paraId="480C1B62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2"/>
          </w:tcPr>
          <w:p w14:paraId="13835E70" w14:textId="05F8940C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rFonts w:hint="cs"/>
                <w:sz w:val="26"/>
                <w:rtl/>
              </w:rPr>
              <w:t>(2)</w:t>
            </w:r>
            <w:r w:rsidRPr="002E56F6">
              <w:rPr>
                <w:sz w:val="26"/>
                <w:rtl/>
              </w:rPr>
              <w:tab/>
            </w:r>
            <w:r w:rsidRPr="002E56F6">
              <w:rPr>
                <w:rFonts w:hint="cs"/>
                <w:sz w:val="26"/>
                <w:rtl/>
              </w:rPr>
              <w:t xml:space="preserve"> </w:t>
            </w:r>
            <w:r w:rsidRPr="002E56F6">
              <w:rPr>
                <w:sz w:val="26"/>
                <w:rtl/>
              </w:rPr>
              <w:t>חיזוק אמון הציבור בגופים המבוקרים ובמערכת אכיפת החוק בכללותה</w:t>
            </w:r>
            <w:r w:rsidR="002E56F6" w:rsidRPr="002E56F6">
              <w:rPr>
                <w:rFonts w:hint="cs"/>
                <w:sz w:val="26"/>
                <w:rtl/>
              </w:rPr>
              <w:t>.</w:t>
            </w:r>
          </w:p>
        </w:tc>
      </w:tr>
      <w:tr w:rsidR="006243D6" w:rsidRPr="002E56F6" w14:paraId="50AABA22" w14:textId="77777777" w:rsidTr="006B7E67">
        <w:trPr>
          <w:cantSplit/>
        </w:trPr>
        <w:tc>
          <w:tcPr>
            <w:tcW w:w="1870" w:type="dxa"/>
          </w:tcPr>
          <w:p w14:paraId="479081D9" w14:textId="77777777" w:rsidR="006243D6" w:rsidRPr="002E56F6" w:rsidRDefault="006243D6" w:rsidP="006B7E67">
            <w:pPr>
              <w:pStyle w:val="TableSideHeading"/>
              <w:keepLines w:val="0"/>
              <w:rPr>
                <w:rFonts w:eastAsia="Times New Roman"/>
                <w:sz w:val="26"/>
                <w:rtl/>
                <w:lang w:eastAsia="en-US"/>
              </w:rPr>
            </w:pPr>
            <w:r w:rsidRPr="002E56F6">
              <w:rPr>
                <w:rFonts w:eastAsia="Times New Roman" w:hint="cs"/>
                <w:sz w:val="26"/>
                <w:rtl/>
                <w:lang w:eastAsia="en-US"/>
              </w:rPr>
              <w:t>הגדרות</w:t>
            </w:r>
          </w:p>
        </w:tc>
        <w:tc>
          <w:tcPr>
            <w:tcW w:w="624" w:type="dxa"/>
          </w:tcPr>
          <w:p w14:paraId="0DD24E08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  <w:r w:rsidRPr="002E56F6">
              <w:rPr>
                <w:rFonts w:hint="cs"/>
                <w:sz w:val="26"/>
                <w:rtl/>
              </w:rPr>
              <w:t>2.</w:t>
            </w:r>
          </w:p>
        </w:tc>
        <w:tc>
          <w:tcPr>
            <w:tcW w:w="7144" w:type="dxa"/>
            <w:gridSpan w:val="2"/>
          </w:tcPr>
          <w:p w14:paraId="58084778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בחוק זה –</w:t>
            </w:r>
          </w:p>
        </w:tc>
      </w:tr>
      <w:tr w:rsidR="006243D6" w:rsidRPr="002E56F6" w14:paraId="310E81E3" w14:textId="77777777" w:rsidTr="006B7E67">
        <w:trPr>
          <w:cantSplit/>
        </w:trPr>
        <w:tc>
          <w:tcPr>
            <w:tcW w:w="1870" w:type="dxa"/>
          </w:tcPr>
          <w:p w14:paraId="40B387A3" w14:textId="77777777" w:rsidR="006243D6" w:rsidRPr="002E56F6" w:rsidRDefault="006243D6" w:rsidP="006B7E67">
            <w:pPr>
              <w:pStyle w:val="TableSideHeading"/>
              <w:keepLines w:val="0"/>
              <w:rPr>
                <w:rFonts w:eastAsia="Times New Roman"/>
                <w:sz w:val="26"/>
                <w:rtl/>
                <w:lang w:eastAsia="en-US"/>
              </w:rPr>
            </w:pPr>
          </w:p>
        </w:tc>
        <w:tc>
          <w:tcPr>
            <w:tcW w:w="624" w:type="dxa"/>
          </w:tcPr>
          <w:p w14:paraId="42675786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2"/>
          </w:tcPr>
          <w:p w14:paraId="11958B52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 xml:space="preserve">"הגופים המבוקרים" – </w:t>
            </w:r>
          </w:p>
        </w:tc>
      </w:tr>
      <w:tr w:rsidR="006243D6" w:rsidRPr="002E56F6" w14:paraId="5B3489F1" w14:textId="77777777" w:rsidTr="006B7E67">
        <w:trPr>
          <w:cantSplit/>
        </w:trPr>
        <w:tc>
          <w:tcPr>
            <w:tcW w:w="1870" w:type="dxa"/>
          </w:tcPr>
          <w:p w14:paraId="1499A4AE" w14:textId="77777777" w:rsidR="006243D6" w:rsidRPr="002E56F6" w:rsidRDefault="006243D6" w:rsidP="006B7E67">
            <w:pPr>
              <w:pStyle w:val="TableSideHeading"/>
              <w:rPr>
                <w:sz w:val="26"/>
              </w:rPr>
            </w:pPr>
          </w:p>
        </w:tc>
        <w:tc>
          <w:tcPr>
            <w:tcW w:w="624" w:type="dxa"/>
          </w:tcPr>
          <w:p w14:paraId="654F5810" w14:textId="77777777" w:rsidR="006243D6" w:rsidRPr="002E56F6" w:rsidRDefault="006243D6" w:rsidP="006B7E67">
            <w:pPr>
              <w:pStyle w:val="TableText"/>
              <w:rPr>
                <w:sz w:val="26"/>
              </w:rPr>
            </w:pPr>
          </w:p>
        </w:tc>
        <w:tc>
          <w:tcPr>
            <w:tcW w:w="624" w:type="dxa"/>
          </w:tcPr>
          <w:p w14:paraId="2FF24823" w14:textId="77777777" w:rsidR="006243D6" w:rsidRPr="002E56F6" w:rsidRDefault="006243D6" w:rsidP="006B7E67">
            <w:pPr>
              <w:pStyle w:val="TableText"/>
              <w:jc w:val="both"/>
              <w:rPr>
                <w:sz w:val="26"/>
              </w:rPr>
            </w:pPr>
          </w:p>
        </w:tc>
        <w:tc>
          <w:tcPr>
            <w:tcW w:w="6520" w:type="dxa"/>
          </w:tcPr>
          <w:p w14:paraId="7CC636E2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(</w:t>
            </w:r>
            <w:r w:rsidRPr="002E56F6">
              <w:rPr>
                <w:rFonts w:hint="cs"/>
                <w:sz w:val="26"/>
                <w:rtl/>
              </w:rPr>
              <w:t>1</w:t>
            </w:r>
            <w:r w:rsidRPr="002E56F6">
              <w:rPr>
                <w:sz w:val="26"/>
                <w:rtl/>
              </w:rPr>
              <w:t>)</w:t>
            </w:r>
            <w:r w:rsidRPr="002E56F6">
              <w:rPr>
                <w:sz w:val="26"/>
                <w:rtl/>
              </w:rPr>
              <w:tab/>
              <w:t xml:space="preserve"> </w:t>
            </w:r>
            <w:r w:rsidRPr="002E56F6">
              <w:rPr>
                <w:rFonts w:hint="cs"/>
                <w:sz w:val="26"/>
                <w:rtl/>
              </w:rPr>
              <w:t>היועץ המשפטי לממשלה;</w:t>
            </w:r>
          </w:p>
        </w:tc>
      </w:tr>
      <w:tr w:rsidR="006243D6" w:rsidRPr="002E56F6" w14:paraId="2294B990" w14:textId="77777777" w:rsidTr="006B7E67">
        <w:trPr>
          <w:cantSplit/>
        </w:trPr>
        <w:tc>
          <w:tcPr>
            <w:tcW w:w="1870" w:type="dxa"/>
          </w:tcPr>
          <w:p w14:paraId="099CB68D" w14:textId="77777777" w:rsidR="006243D6" w:rsidRPr="002E56F6" w:rsidRDefault="006243D6" w:rsidP="006B7E67">
            <w:pPr>
              <w:pStyle w:val="TableSideHeading"/>
              <w:rPr>
                <w:sz w:val="26"/>
              </w:rPr>
            </w:pPr>
          </w:p>
        </w:tc>
        <w:tc>
          <w:tcPr>
            <w:tcW w:w="624" w:type="dxa"/>
          </w:tcPr>
          <w:p w14:paraId="5C13E416" w14:textId="77777777" w:rsidR="006243D6" w:rsidRPr="002E56F6" w:rsidRDefault="006243D6" w:rsidP="006B7E67">
            <w:pPr>
              <w:pStyle w:val="TableText"/>
              <w:rPr>
                <w:sz w:val="26"/>
              </w:rPr>
            </w:pPr>
          </w:p>
        </w:tc>
        <w:tc>
          <w:tcPr>
            <w:tcW w:w="624" w:type="dxa"/>
          </w:tcPr>
          <w:p w14:paraId="022207EC" w14:textId="77777777" w:rsidR="006243D6" w:rsidRPr="002E56F6" w:rsidRDefault="006243D6" w:rsidP="006B7E67">
            <w:pPr>
              <w:pStyle w:val="TableText"/>
              <w:jc w:val="both"/>
              <w:rPr>
                <w:sz w:val="26"/>
              </w:rPr>
            </w:pPr>
          </w:p>
        </w:tc>
        <w:tc>
          <w:tcPr>
            <w:tcW w:w="6520" w:type="dxa"/>
          </w:tcPr>
          <w:p w14:paraId="6E9699BC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rFonts w:hint="cs"/>
                <w:sz w:val="26"/>
                <w:rtl/>
              </w:rPr>
              <w:t>ׁ(2)</w:t>
            </w:r>
            <w:r w:rsidRPr="002E56F6">
              <w:rPr>
                <w:sz w:val="26"/>
                <w:rtl/>
              </w:rPr>
              <w:tab/>
              <w:t>פרקליטות המדינה;</w:t>
            </w:r>
          </w:p>
        </w:tc>
      </w:tr>
      <w:tr w:rsidR="006243D6" w:rsidRPr="002E56F6" w14:paraId="1CB7AAB5" w14:textId="77777777" w:rsidTr="006B7E67">
        <w:trPr>
          <w:cantSplit/>
        </w:trPr>
        <w:tc>
          <w:tcPr>
            <w:tcW w:w="1870" w:type="dxa"/>
          </w:tcPr>
          <w:p w14:paraId="3E9F81E2" w14:textId="77777777" w:rsidR="006243D6" w:rsidRPr="002E56F6" w:rsidRDefault="006243D6" w:rsidP="006B7E67">
            <w:pPr>
              <w:pStyle w:val="TableSideHeading"/>
              <w:rPr>
                <w:sz w:val="26"/>
              </w:rPr>
            </w:pPr>
          </w:p>
        </w:tc>
        <w:tc>
          <w:tcPr>
            <w:tcW w:w="624" w:type="dxa"/>
          </w:tcPr>
          <w:p w14:paraId="08469A44" w14:textId="77777777" w:rsidR="006243D6" w:rsidRPr="002E56F6" w:rsidRDefault="006243D6" w:rsidP="006B7E67">
            <w:pPr>
              <w:pStyle w:val="TableText"/>
              <w:rPr>
                <w:sz w:val="26"/>
              </w:rPr>
            </w:pPr>
          </w:p>
        </w:tc>
        <w:tc>
          <w:tcPr>
            <w:tcW w:w="624" w:type="dxa"/>
          </w:tcPr>
          <w:p w14:paraId="1798CA0B" w14:textId="77777777" w:rsidR="006243D6" w:rsidRPr="002E56F6" w:rsidRDefault="006243D6" w:rsidP="006B7E67">
            <w:pPr>
              <w:pStyle w:val="TableText"/>
              <w:jc w:val="both"/>
              <w:rPr>
                <w:sz w:val="26"/>
              </w:rPr>
            </w:pPr>
          </w:p>
        </w:tc>
        <w:tc>
          <w:tcPr>
            <w:tcW w:w="6520" w:type="dxa"/>
          </w:tcPr>
          <w:p w14:paraId="5B8BC955" w14:textId="77777777" w:rsidR="006243D6" w:rsidRPr="002E56F6" w:rsidRDefault="006243D6" w:rsidP="006B7E67">
            <w:pPr>
              <w:pStyle w:val="TableBlock"/>
              <w:rPr>
                <w:sz w:val="26"/>
              </w:rPr>
            </w:pPr>
            <w:r w:rsidRPr="002E56F6">
              <w:rPr>
                <w:sz w:val="26"/>
                <w:rtl/>
              </w:rPr>
              <w:t>(</w:t>
            </w:r>
            <w:r w:rsidRPr="002E56F6">
              <w:rPr>
                <w:rFonts w:hint="cs"/>
                <w:sz w:val="26"/>
                <w:rtl/>
              </w:rPr>
              <w:t>3</w:t>
            </w:r>
            <w:r w:rsidRPr="002E56F6">
              <w:rPr>
                <w:sz w:val="26"/>
                <w:rtl/>
              </w:rPr>
              <w:t>)</w:t>
            </w:r>
            <w:r w:rsidRPr="002E56F6">
              <w:rPr>
                <w:sz w:val="26"/>
                <w:rtl/>
              </w:rPr>
              <w:tab/>
              <w:t>התביעה המשטרתית</w:t>
            </w:r>
            <w:r w:rsidRPr="002E56F6">
              <w:rPr>
                <w:rFonts w:hint="cs"/>
                <w:sz w:val="26"/>
                <w:rtl/>
              </w:rPr>
              <w:t>;</w:t>
            </w:r>
          </w:p>
        </w:tc>
      </w:tr>
      <w:tr w:rsidR="006243D6" w:rsidRPr="002E56F6" w14:paraId="68A683A2" w14:textId="77777777" w:rsidTr="006B7E67">
        <w:trPr>
          <w:cantSplit/>
        </w:trPr>
        <w:tc>
          <w:tcPr>
            <w:tcW w:w="1870" w:type="dxa"/>
          </w:tcPr>
          <w:p w14:paraId="4D1C99A6" w14:textId="77777777" w:rsidR="006243D6" w:rsidRPr="002E56F6" w:rsidRDefault="006243D6" w:rsidP="006B7E67">
            <w:pPr>
              <w:pStyle w:val="TableSideHeading"/>
              <w:rPr>
                <w:sz w:val="26"/>
              </w:rPr>
            </w:pPr>
          </w:p>
        </w:tc>
        <w:tc>
          <w:tcPr>
            <w:tcW w:w="624" w:type="dxa"/>
          </w:tcPr>
          <w:p w14:paraId="5D3F6279" w14:textId="77777777" w:rsidR="006243D6" w:rsidRPr="002E56F6" w:rsidRDefault="006243D6" w:rsidP="006B7E67">
            <w:pPr>
              <w:pStyle w:val="TableText"/>
              <w:rPr>
                <w:sz w:val="26"/>
              </w:rPr>
            </w:pPr>
          </w:p>
        </w:tc>
        <w:tc>
          <w:tcPr>
            <w:tcW w:w="624" w:type="dxa"/>
          </w:tcPr>
          <w:p w14:paraId="63B1AEBF" w14:textId="77777777" w:rsidR="006243D6" w:rsidRPr="002E56F6" w:rsidRDefault="006243D6" w:rsidP="006B7E67">
            <w:pPr>
              <w:pStyle w:val="TableText"/>
              <w:jc w:val="both"/>
              <w:rPr>
                <w:sz w:val="26"/>
              </w:rPr>
            </w:pPr>
          </w:p>
        </w:tc>
        <w:tc>
          <w:tcPr>
            <w:tcW w:w="6520" w:type="dxa"/>
          </w:tcPr>
          <w:p w14:paraId="3289B9B8" w14:textId="6BD2E1D2" w:rsidR="006243D6" w:rsidRPr="002E56F6" w:rsidRDefault="006243D6" w:rsidP="006B7E67">
            <w:pPr>
              <w:pStyle w:val="TableBlock"/>
              <w:rPr>
                <w:sz w:val="26"/>
              </w:rPr>
            </w:pPr>
            <w:r w:rsidRPr="002E56F6">
              <w:rPr>
                <w:sz w:val="26"/>
                <w:rtl/>
              </w:rPr>
              <w:t>(</w:t>
            </w:r>
            <w:r w:rsidRPr="002E56F6">
              <w:rPr>
                <w:rFonts w:hint="cs"/>
                <w:sz w:val="26"/>
                <w:rtl/>
              </w:rPr>
              <w:t>4</w:t>
            </w:r>
            <w:r w:rsidRPr="002E56F6">
              <w:rPr>
                <w:sz w:val="26"/>
                <w:rtl/>
              </w:rPr>
              <w:t>)</w:t>
            </w:r>
            <w:r w:rsidRPr="002E56F6">
              <w:rPr>
                <w:sz w:val="26"/>
                <w:rtl/>
              </w:rPr>
              <w:tab/>
            </w:r>
            <w:r w:rsidRPr="002E56F6">
              <w:rPr>
                <w:rFonts w:hint="cs"/>
                <w:sz w:val="26"/>
                <w:rtl/>
              </w:rPr>
              <w:t xml:space="preserve">מי שהיועץ המשפטי לממשלה הסמיך </w:t>
            </w:r>
            <w:r w:rsidRPr="002E56F6">
              <w:rPr>
                <w:sz w:val="26"/>
                <w:rtl/>
              </w:rPr>
              <w:t xml:space="preserve">לפי סעיף 4 לחוק תיקון סדרי הדין האזרחי (המדינה כבעל דין), </w:t>
            </w:r>
            <w:proofErr w:type="spellStart"/>
            <w:r w:rsidR="002E56F6">
              <w:rPr>
                <w:rFonts w:hint="cs"/>
                <w:sz w:val="26"/>
                <w:rtl/>
              </w:rPr>
              <w:t>ה</w:t>
            </w:r>
            <w:r w:rsidRPr="002E56F6">
              <w:rPr>
                <w:sz w:val="26"/>
                <w:rtl/>
              </w:rPr>
              <w:t>תשי"ח</w:t>
            </w:r>
            <w:proofErr w:type="spellEnd"/>
            <w:r w:rsidRPr="002E56F6">
              <w:rPr>
                <w:sz w:val="26"/>
                <w:rtl/>
              </w:rPr>
              <w:t>–1958</w:t>
            </w:r>
            <w:r w:rsidRPr="002E56F6">
              <w:rPr>
                <w:rStyle w:val="a5"/>
                <w:sz w:val="26"/>
                <w:rtl/>
              </w:rPr>
              <w:footnoteReference w:id="2"/>
            </w:r>
            <w:r w:rsidRPr="002E56F6">
              <w:rPr>
                <w:rFonts w:hint="cs"/>
                <w:sz w:val="26"/>
                <w:rtl/>
              </w:rPr>
              <w:t>;</w:t>
            </w:r>
          </w:p>
        </w:tc>
      </w:tr>
      <w:tr w:rsidR="006243D6" w:rsidRPr="002E56F6" w14:paraId="0A1F5A8A" w14:textId="77777777" w:rsidTr="006B7E67">
        <w:trPr>
          <w:cantSplit/>
        </w:trPr>
        <w:tc>
          <w:tcPr>
            <w:tcW w:w="1870" w:type="dxa"/>
          </w:tcPr>
          <w:p w14:paraId="5714DC1B" w14:textId="77777777" w:rsidR="006243D6" w:rsidRPr="002E56F6" w:rsidRDefault="006243D6" w:rsidP="006B7E67">
            <w:pPr>
              <w:pStyle w:val="TableSideHeading"/>
              <w:rPr>
                <w:sz w:val="26"/>
              </w:rPr>
            </w:pPr>
          </w:p>
        </w:tc>
        <w:tc>
          <w:tcPr>
            <w:tcW w:w="624" w:type="dxa"/>
          </w:tcPr>
          <w:p w14:paraId="564CD41F" w14:textId="77777777" w:rsidR="006243D6" w:rsidRPr="002E56F6" w:rsidRDefault="006243D6" w:rsidP="006B7E67">
            <w:pPr>
              <w:pStyle w:val="TableText"/>
              <w:rPr>
                <w:sz w:val="26"/>
              </w:rPr>
            </w:pPr>
          </w:p>
        </w:tc>
        <w:tc>
          <w:tcPr>
            <w:tcW w:w="624" w:type="dxa"/>
          </w:tcPr>
          <w:p w14:paraId="5C727AB5" w14:textId="77777777" w:rsidR="006243D6" w:rsidRPr="002E56F6" w:rsidRDefault="006243D6" w:rsidP="006B7E67">
            <w:pPr>
              <w:pStyle w:val="TableText"/>
              <w:jc w:val="both"/>
              <w:rPr>
                <w:sz w:val="26"/>
              </w:rPr>
            </w:pPr>
          </w:p>
        </w:tc>
        <w:tc>
          <w:tcPr>
            <w:tcW w:w="6520" w:type="dxa"/>
          </w:tcPr>
          <w:p w14:paraId="2EDA5C9A" w14:textId="5889D848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(</w:t>
            </w:r>
            <w:r w:rsidRPr="002E56F6">
              <w:rPr>
                <w:rFonts w:hint="cs"/>
                <w:sz w:val="26"/>
                <w:rtl/>
              </w:rPr>
              <w:t>5</w:t>
            </w:r>
            <w:r w:rsidRPr="002E56F6">
              <w:rPr>
                <w:sz w:val="26"/>
                <w:rtl/>
              </w:rPr>
              <w:t>)</w:t>
            </w:r>
            <w:r w:rsidRPr="002E56F6">
              <w:rPr>
                <w:sz w:val="26"/>
                <w:rtl/>
              </w:rPr>
              <w:tab/>
            </w:r>
            <w:r w:rsidRPr="002E56F6">
              <w:rPr>
                <w:rFonts w:hint="cs"/>
                <w:sz w:val="26"/>
                <w:rtl/>
              </w:rPr>
              <w:t xml:space="preserve">מי שהיועץ המשפטי לממשלה הסמיך לפי סעיף 12(א)(1)(ב) ו-(ב) לחוק סדר הדין הפלילי [נוסח משולב], </w:t>
            </w:r>
            <w:proofErr w:type="spellStart"/>
            <w:r w:rsidRPr="002E56F6">
              <w:rPr>
                <w:rFonts w:hint="cs"/>
                <w:sz w:val="26"/>
                <w:rtl/>
              </w:rPr>
              <w:t>התשמ"ב</w:t>
            </w:r>
            <w:proofErr w:type="spellEnd"/>
            <w:r w:rsidRPr="002E56F6">
              <w:rPr>
                <w:sz w:val="26"/>
                <w:rtl/>
              </w:rPr>
              <w:t>–</w:t>
            </w:r>
            <w:r w:rsidRPr="002E56F6">
              <w:rPr>
                <w:rFonts w:hint="cs"/>
                <w:sz w:val="26"/>
                <w:rtl/>
              </w:rPr>
              <w:t>1982</w:t>
            </w:r>
            <w:r w:rsidRPr="002E56F6">
              <w:rPr>
                <w:rStyle w:val="a5"/>
                <w:sz w:val="26"/>
                <w:rtl/>
              </w:rPr>
              <w:footnoteReference w:id="3"/>
            </w:r>
            <w:r w:rsidR="002E56F6">
              <w:rPr>
                <w:rFonts w:hint="cs"/>
                <w:sz w:val="26"/>
                <w:rtl/>
              </w:rPr>
              <w:t>;</w:t>
            </w:r>
          </w:p>
        </w:tc>
      </w:tr>
      <w:tr w:rsidR="006243D6" w:rsidRPr="002E56F6" w14:paraId="1434B70B" w14:textId="77777777" w:rsidTr="006B7E67">
        <w:trPr>
          <w:cantSplit/>
        </w:trPr>
        <w:tc>
          <w:tcPr>
            <w:tcW w:w="1870" w:type="dxa"/>
          </w:tcPr>
          <w:p w14:paraId="6FE10465" w14:textId="77777777" w:rsidR="006243D6" w:rsidRPr="002E56F6" w:rsidRDefault="006243D6" w:rsidP="006B7E67">
            <w:pPr>
              <w:pStyle w:val="TableSideHeading"/>
              <w:rPr>
                <w:sz w:val="26"/>
              </w:rPr>
            </w:pPr>
          </w:p>
        </w:tc>
        <w:tc>
          <w:tcPr>
            <w:tcW w:w="624" w:type="dxa"/>
          </w:tcPr>
          <w:p w14:paraId="26729399" w14:textId="77777777" w:rsidR="006243D6" w:rsidRPr="002E56F6" w:rsidRDefault="006243D6" w:rsidP="006B7E67">
            <w:pPr>
              <w:pStyle w:val="TableText"/>
              <w:rPr>
                <w:sz w:val="26"/>
              </w:rPr>
            </w:pPr>
          </w:p>
        </w:tc>
        <w:tc>
          <w:tcPr>
            <w:tcW w:w="624" w:type="dxa"/>
          </w:tcPr>
          <w:p w14:paraId="149526A2" w14:textId="77777777" w:rsidR="006243D6" w:rsidRPr="002E56F6" w:rsidRDefault="006243D6" w:rsidP="006B7E67">
            <w:pPr>
              <w:pStyle w:val="TableText"/>
              <w:jc w:val="both"/>
              <w:rPr>
                <w:sz w:val="26"/>
              </w:rPr>
            </w:pPr>
          </w:p>
        </w:tc>
        <w:tc>
          <w:tcPr>
            <w:tcW w:w="6520" w:type="dxa"/>
          </w:tcPr>
          <w:p w14:paraId="38F7C45B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rFonts w:hint="cs"/>
                <w:sz w:val="26"/>
                <w:rtl/>
              </w:rPr>
              <w:t>(6</w:t>
            </w:r>
            <w:r w:rsidRPr="002E56F6">
              <w:rPr>
                <w:sz w:val="26"/>
                <w:rtl/>
              </w:rPr>
              <w:t>)</w:t>
            </w:r>
            <w:r w:rsidRPr="002E56F6">
              <w:rPr>
                <w:sz w:val="26"/>
                <w:rtl/>
              </w:rPr>
              <w:tab/>
            </w:r>
            <w:r w:rsidRPr="002E56F6">
              <w:rPr>
                <w:rFonts w:hint="cs"/>
                <w:sz w:val="26"/>
                <w:rtl/>
              </w:rPr>
              <w:t>כל עובדי הגופים האמורים;</w:t>
            </w:r>
          </w:p>
        </w:tc>
      </w:tr>
      <w:tr w:rsidR="006243D6" w:rsidRPr="002E56F6" w14:paraId="17221044" w14:textId="77777777" w:rsidTr="006B7E67">
        <w:trPr>
          <w:cantSplit/>
        </w:trPr>
        <w:tc>
          <w:tcPr>
            <w:tcW w:w="1870" w:type="dxa"/>
          </w:tcPr>
          <w:p w14:paraId="455EEE9F" w14:textId="77777777" w:rsidR="006243D6" w:rsidRPr="002E56F6" w:rsidRDefault="006243D6" w:rsidP="006B7E67">
            <w:pPr>
              <w:pStyle w:val="TableSideHeading"/>
              <w:rPr>
                <w:sz w:val="26"/>
              </w:rPr>
            </w:pPr>
          </w:p>
        </w:tc>
        <w:tc>
          <w:tcPr>
            <w:tcW w:w="624" w:type="dxa"/>
          </w:tcPr>
          <w:p w14:paraId="65F52A7E" w14:textId="77777777" w:rsidR="006243D6" w:rsidRPr="002E56F6" w:rsidRDefault="006243D6" w:rsidP="006B7E67">
            <w:pPr>
              <w:pStyle w:val="TableText"/>
              <w:rPr>
                <w:sz w:val="26"/>
              </w:rPr>
            </w:pPr>
          </w:p>
        </w:tc>
        <w:tc>
          <w:tcPr>
            <w:tcW w:w="624" w:type="dxa"/>
          </w:tcPr>
          <w:p w14:paraId="096C10B9" w14:textId="77777777" w:rsidR="006243D6" w:rsidRPr="002E56F6" w:rsidRDefault="006243D6" w:rsidP="006B7E67">
            <w:pPr>
              <w:pStyle w:val="TableText"/>
              <w:jc w:val="both"/>
              <w:rPr>
                <w:sz w:val="26"/>
              </w:rPr>
            </w:pPr>
          </w:p>
        </w:tc>
        <w:tc>
          <w:tcPr>
            <w:tcW w:w="6520" w:type="dxa"/>
          </w:tcPr>
          <w:p w14:paraId="11CA40BB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(</w:t>
            </w:r>
            <w:r w:rsidRPr="002E56F6">
              <w:rPr>
                <w:rFonts w:hint="cs"/>
                <w:sz w:val="26"/>
                <w:rtl/>
              </w:rPr>
              <w:t>7</w:t>
            </w:r>
            <w:r w:rsidRPr="002E56F6">
              <w:rPr>
                <w:sz w:val="26"/>
                <w:rtl/>
              </w:rPr>
              <w:t xml:space="preserve">) </w:t>
            </w:r>
            <w:r w:rsidRPr="002E56F6">
              <w:rPr>
                <w:sz w:val="26"/>
                <w:rtl/>
              </w:rPr>
              <w:tab/>
            </w:r>
            <w:r w:rsidRPr="002E56F6">
              <w:rPr>
                <w:rFonts w:hint="cs"/>
                <w:sz w:val="26"/>
                <w:rtl/>
              </w:rPr>
              <w:t>מי שהיה עובד בגוף מבוקר עד שלוש שנים לפני תחילת הביקורת;</w:t>
            </w:r>
          </w:p>
        </w:tc>
      </w:tr>
      <w:tr w:rsidR="006243D6" w:rsidRPr="002E56F6" w14:paraId="4DAAC3F7" w14:textId="77777777" w:rsidTr="006B7E67">
        <w:trPr>
          <w:cantSplit/>
        </w:trPr>
        <w:tc>
          <w:tcPr>
            <w:tcW w:w="1870" w:type="dxa"/>
          </w:tcPr>
          <w:p w14:paraId="10D6BB60" w14:textId="77777777" w:rsidR="006243D6" w:rsidRPr="002E56F6" w:rsidRDefault="006243D6" w:rsidP="006B7E67">
            <w:pPr>
              <w:pStyle w:val="TableBlockOutdent"/>
              <w:rPr>
                <w:sz w:val="26"/>
                <w:rtl/>
              </w:rPr>
            </w:pPr>
          </w:p>
        </w:tc>
        <w:tc>
          <w:tcPr>
            <w:tcW w:w="624" w:type="dxa"/>
          </w:tcPr>
          <w:p w14:paraId="18DF0DF8" w14:textId="77777777" w:rsidR="006243D6" w:rsidRPr="002E56F6" w:rsidRDefault="006243D6" w:rsidP="006B7E67">
            <w:pPr>
              <w:pStyle w:val="TableBlockOutdent"/>
              <w:rPr>
                <w:sz w:val="26"/>
                <w:rtl/>
              </w:rPr>
            </w:pPr>
          </w:p>
        </w:tc>
        <w:tc>
          <w:tcPr>
            <w:tcW w:w="7144" w:type="dxa"/>
            <w:gridSpan w:val="2"/>
          </w:tcPr>
          <w:p w14:paraId="4027B07F" w14:textId="77777777" w:rsidR="006243D6" w:rsidRPr="002E56F6" w:rsidRDefault="006243D6" w:rsidP="006B7E67">
            <w:pPr>
              <w:pStyle w:val="TableBlockOutdent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"הליך משפטי"</w:t>
            </w:r>
            <w:r w:rsidRPr="002E56F6">
              <w:rPr>
                <w:rFonts w:hint="cs"/>
                <w:sz w:val="26"/>
              </w:rPr>
              <w:t xml:space="preserve"> </w:t>
            </w:r>
            <w:r w:rsidRPr="002E56F6">
              <w:rPr>
                <w:sz w:val="26"/>
                <w:rtl/>
              </w:rPr>
              <w:t>– הליך המתנהל בערכאה דיונית בבתי משפט או בבתי דין</w:t>
            </w:r>
            <w:r w:rsidRPr="002E56F6">
              <w:rPr>
                <w:rFonts w:hint="cs"/>
                <w:sz w:val="26"/>
                <w:rtl/>
              </w:rPr>
              <w:t>;</w:t>
            </w:r>
          </w:p>
        </w:tc>
      </w:tr>
      <w:tr w:rsidR="006243D6" w:rsidRPr="002E56F6" w14:paraId="1807FFE0" w14:textId="77777777" w:rsidTr="006B7E67">
        <w:trPr>
          <w:cantSplit/>
        </w:trPr>
        <w:tc>
          <w:tcPr>
            <w:tcW w:w="1870" w:type="dxa"/>
          </w:tcPr>
          <w:p w14:paraId="2B2CADAD" w14:textId="77777777" w:rsidR="006243D6" w:rsidRPr="002E56F6" w:rsidRDefault="006243D6" w:rsidP="006B7E67">
            <w:pPr>
              <w:pStyle w:val="TableSideHeading"/>
              <w:keepLines w:val="0"/>
              <w:rPr>
                <w:rFonts w:eastAsia="Times New Roman"/>
                <w:sz w:val="26"/>
                <w:rtl/>
                <w:lang w:eastAsia="en-US"/>
              </w:rPr>
            </w:pPr>
          </w:p>
        </w:tc>
        <w:tc>
          <w:tcPr>
            <w:tcW w:w="624" w:type="dxa"/>
          </w:tcPr>
          <w:p w14:paraId="6C0FA29B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2"/>
          </w:tcPr>
          <w:p w14:paraId="2EDE0F91" w14:textId="77777777" w:rsidR="006243D6" w:rsidRPr="002E56F6" w:rsidRDefault="006243D6" w:rsidP="006B7E67">
            <w:pPr>
              <w:pStyle w:val="TableBlockOutdent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"מתלונן"</w:t>
            </w:r>
            <w:r w:rsidRPr="002E56F6">
              <w:rPr>
                <w:rFonts w:hint="cs"/>
                <w:sz w:val="26"/>
              </w:rPr>
              <w:t xml:space="preserve"> </w:t>
            </w:r>
            <w:r w:rsidRPr="002E56F6">
              <w:rPr>
                <w:sz w:val="26"/>
                <w:rtl/>
              </w:rPr>
              <w:t>– מי שהגיש תלונה לנציבות</w:t>
            </w:r>
            <w:r w:rsidRPr="002E56F6">
              <w:rPr>
                <w:rFonts w:hint="cs"/>
                <w:sz w:val="26"/>
                <w:rtl/>
              </w:rPr>
              <w:t>;</w:t>
            </w:r>
          </w:p>
        </w:tc>
      </w:tr>
      <w:tr w:rsidR="006243D6" w:rsidRPr="002E56F6" w14:paraId="6852BDD3" w14:textId="77777777" w:rsidTr="006B7E67">
        <w:trPr>
          <w:cantSplit/>
        </w:trPr>
        <w:tc>
          <w:tcPr>
            <w:tcW w:w="1870" w:type="dxa"/>
          </w:tcPr>
          <w:p w14:paraId="05EFF1D2" w14:textId="77777777" w:rsidR="006243D6" w:rsidRPr="002E56F6" w:rsidRDefault="006243D6" w:rsidP="006B7E67">
            <w:pPr>
              <w:pStyle w:val="TableSideHeading"/>
              <w:keepLines w:val="0"/>
              <w:rPr>
                <w:rFonts w:eastAsia="Times New Roman"/>
                <w:sz w:val="26"/>
                <w:rtl/>
                <w:lang w:eastAsia="en-US"/>
              </w:rPr>
            </w:pPr>
          </w:p>
        </w:tc>
        <w:tc>
          <w:tcPr>
            <w:tcW w:w="624" w:type="dxa"/>
          </w:tcPr>
          <w:p w14:paraId="611CB6AA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2"/>
          </w:tcPr>
          <w:p w14:paraId="25988C7F" w14:textId="77777777" w:rsidR="006243D6" w:rsidRPr="002E56F6" w:rsidRDefault="006243D6" w:rsidP="006B7E67">
            <w:pPr>
              <w:pStyle w:val="TableBlockOutdent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"</w:t>
            </w:r>
            <w:proofErr w:type="spellStart"/>
            <w:r w:rsidRPr="002E56F6">
              <w:rPr>
                <w:sz w:val="26"/>
                <w:rtl/>
              </w:rPr>
              <w:t>נילון</w:t>
            </w:r>
            <w:proofErr w:type="spellEnd"/>
            <w:r w:rsidRPr="002E56F6">
              <w:rPr>
                <w:sz w:val="26"/>
                <w:rtl/>
              </w:rPr>
              <w:t>"</w:t>
            </w:r>
            <w:r w:rsidRPr="002E56F6">
              <w:rPr>
                <w:rFonts w:hint="cs"/>
                <w:sz w:val="26"/>
              </w:rPr>
              <w:t xml:space="preserve"> </w:t>
            </w:r>
            <w:r w:rsidRPr="002E56F6">
              <w:rPr>
                <w:sz w:val="26"/>
                <w:rtl/>
              </w:rPr>
              <w:t>– אדם או גוף נגדו הוגשה תלונה</w:t>
            </w:r>
            <w:r w:rsidRPr="002E56F6">
              <w:rPr>
                <w:rFonts w:hint="cs"/>
                <w:sz w:val="26"/>
                <w:rtl/>
              </w:rPr>
              <w:t>;</w:t>
            </w:r>
          </w:p>
        </w:tc>
      </w:tr>
      <w:tr w:rsidR="006243D6" w:rsidRPr="002E56F6" w14:paraId="354F4F10" w14:textId="77777777" w:rsidTr="006B7E67">
        <w:trPr>
          <w:cantSplit/>
        </w:trPr>
        <w:tc>
          <w:tcPr>
            <w:tcW w:w="1870" w:type="dxa"/>
          </w:tcPr>
          <w:p w14:paraId="494931C0" w14:textId="77777777" w:rsidR="006243D6" w:rsidRPr="002E56F6" w:rsidRDefault="006243D6" w:rsidP="006B7E67">
            <w:pPr>
              <w:pStyle w:val="TableSideHeading"/>
              <w:keepLines w:val="0"/>
              <w:rPr>
                <w:rFonts w:eastAsia="Times New Roman"/>
                <w:sz w:val="26"/>
                <w:rtl/>
                <w:lang w:eastAsia="en-US"/>
              </w:rPr>
            </w:pPr>
          </w:p>
        </w:tc>
        <w:tc>
          <w:tcPr>
            <w:tcW w:w="624" w:type="dxa"/>
          </w:tcPr>
          <w:p w14:paraId="18067462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2"/>
          </w:tcPr>
          <w:p w14:paraId="4AABA114" w14:textId="77777777" w:rsidR="006243D6" w:rsidRPr="002E56F6" w:rsidRDefault="006243D6" w:rsidP="006B7E67">
            <w:pPr>
              <w:pStyle w:val="TableBlockOutdent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"הנציב"</w:t>
            </w:r>
            <w:r w:rsidRPr="002E56F6">
              <w:rPr>
                <w:rFonts w:hint="cs"/>
                <w:sz w:val="26"/>
              </w:rPr>
              <w:t xml:space="preserve"> </w:t>
            </w:r>
            <w:r w:rsidRPr="002E56F6">
              <w:rPr>
                <w:sz w:val="26"/>
                <w:rtl/>
              </w:rPr>
              <w:t>– העומד בראש הנציבות ונבחר לפי הוראות חוק זה</w:t>
            </w:r>
            <w:r w:rsidRPr="002E56F6">
              <w:rPr>
                <w:rFonts w:hint="cs"/>
                <w:sz w:val="26"/>
                <w:rtl/>
              </w:rPr>
              <w:t>;</w:t>
            </w:r>
          </w:p>
        </w:tc>
      </w:tr>
      <w:tr w:rsidR="006243D6" w:rsidRPr="002E56F6" w14:paraId="7B8F630D" w14:textId="77777777" w:rsidTr="006B7E67">
        <w:trPr>
          <w:cantSplit/>
        </w:trPr>
        <w:tc>
          <w:tcPr>
            <w:tcW w:w="1870" w:type="dxa"/>
          </w:tcPr>
          <w:p w14:paraId="3E98E7A3" w14:textId="77777777" w:rsidR="006243D6" w:rsidRPr="002E56F6" w:rsidRDefault="006243D6" w:rsidP="006B7E67">
            <w:pPr>
              <w:pStyle w:val="TableSideHeading"/>
              <w:keepLines w:val="0"/>
              <w:rPr>
                <w:rFonts w:eastAsia="Times New Roman"/>
                <w:sz w:val="26"/>
                <w:rtl/>
                <w:lang w:eastAsia="en-US"/>
              </w:rPr>
            </w:pPr>
          </w:p>
        </w:tc>
        <w:tc>
          <w:tcPr>
            <w:tcW w:w="624" w:type="dxa"/>
          </w:tcPr>
          <w:p w14:paraId="0AFB355B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2"/>
          </w:tcPr>
          <w:p w14:paraId="623A8F11" w14:textId="77777777" w:rsidR="006243D6" w:rsidRPr="002E56F6" w:rsidRDefault="006243D6" w:rsidP="006B7E67">
            <w:pPr>
              <w:pStyle w:val="TableBlockOutdent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"נציבות"</w:t>
            </w:r>
            <w:r w:rsidRPr="002E56F6">
              <w:rPr>
                <w:rFonts w:hint="cs"/>
                <w:sz w:val="26"/>
              </w:rPr>
              <w:t xml:space="preserve"> </w:t>
            </w:r>
            <w:r w:rsidRPr="002E56F6">
              <w:rPr>
                <w:rFonts w:hint="cs"/>
                <w:sz w:val="26"/>
                <w:rtl/>
              </w:rPr>
              <w:t>–</w:t>
            </w:r>
            <w:r w:rsidRPr="002E56F6">
              <w:rPr>
                <w:sz w:val="26"/>
                <w:rtl/>
              </w:rPr>
              <w:t xml:space="preserve"> נציבות הביקורת על מערך התביעה ומייצגי המדינה בערכאות;</w:t>
            </w:r>
          </w:p>
        </w:tc>
      </w:tr>
      <w:tr w:rsidR="006243D6" w:rsidRPr="002E56F6" w14:paraId="27DD5269" w14:textId="77777777" w:rsidTr="006B7E67">
        <w:trPr>
          <w:cantSplit/>
        </w:trPr>
        <w:tc>
          <w:tcPr>
            <w:tcW w:w="1870" w:type="dxa"/>
          </w:tcPr>
          <w:p w14:paraId="46D7EECC" w14:textId="77777777" w:rsidR="006243D6" w:rsidRPr="002E56F6" w:rsidRDefault="006243D6" w:rsidP="006B7E67">
            <w:pPr>
              <w:pStyle w:val="TableSideHeading"/>
              <w:keepLines w:val="0"/>
              <w:rPr>
                <w:rFonts w:eastAsia="Times New Roman"/>
                <w:sz w:val="26"/>
                <w:rtl/>
                <w:lang w:eastAsia="en-US"/>
              </w:rPr>
            </w:pPr>
          </w:p>
        </w:tc>
        <w:tc>
          <w:tcPr>
            <w:tcW w:w="624" w:type="dxa"/>
          </w:tcPr>
          <w:p w14:paraId="64F0D25D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2"/>
          </w:tcPr>
          <w:p w14:paraId="05C313DA" w14:textId="77777777" w:rsidR="006243D6" w:rsidRPr="002E56F6" w:rsidRDefault="006243D6" w:rsidP="006B7E67">
            <w:pPr>
              <w:pStyle w:val="TableBlockOutdent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"שופט בית משפט עליון"</w:t>
            </w:r>
            <w:r w:rsidRPr="002E56F6">
              <w:rPr>
                <w:rFonts w:hint="cs"/>
                <w:sz w:val="26"/>
              </w:rPr>
              <w:t xml:space="preserve"> </w:t>
            </w:r>
            <w:r w:rsidRPr="002E56F6">
              <w:rPr>
                <w:rFonts w:hint="cs"/>
                <w:sz w:val="26"/>
                <w:rtl/>
              </w:rPr>
              <w:t>–</w:t>
            </w:r>
            <w:r w:rsidRPr="002E56F6">
              <w:rPr>
                <w:sz w:val="26"/>
                <w:rtl/>
              </w:rPr>
              <w:t xml:space="preserve"> כמשמעו בסעיף 2 לחוק בתי המשפט [נוסח</w:t>
            </w:r>
            <w:r w:rsidRPr="002E56F6">
              <w:rPr>
                <w:rFonts w:hint="cs"/>
                <w:sz w:val="26"/>
                <w:rtl/>
              </w:rPr>
              <w:t xml:space="preserve"> </w:t>
            </w:r>
            <w:r w:rsidRPr="002E56F6">
              <w:rPr>
                <w:sz w:val="26"/>
                <w:rtl/>
              </w:rPr>
              <w:t xml:space="preserve">משולב] </w:t>
            </w:r>
            <w:proofErr w:type="spellStart"/>
            <w:r w:rsidRPr="002E56F6">
              <w:rPr>
                <w:sz w:val="26"/>
                <w:rtl/>
              </w:rPr>
              <w:t>התשמ"ד</w:t>
            </w:r>
            <w:proofErr w:type="spellEnd"/>
            <w:r w:rsidRPr="002E56F6">
              <w:rPr>
                <w:sz w:val="26"/>
                <w:rtl/>
              </w:rPr>
              <w:t>–1984</w:t>
            </w:r>
            <w:r w:rsidRPr="002E56F6">
              <w:rPr>
                <w:szCs w:val="20"/>
                <w:rtl/>
              </w:rPr>
              <w:footnoteReference w:id="4"/>
            </w:r>
            <w:r w:rsidRPr="002E56F6">
              <w:rPr>
                <w:rFonts w:hint="cs"/>
                <w:szCs w:val="20"/>
                <w:rtl/>
              </w:rPr>
              <w:t xml:space="preserve"> </w:t>
            </w:r>
            <w:r w:rsidRPr="002E56F6">
              <w:rPr>
                <w:rFonts w:hint="cs"/>
                <w:sz w:val="26"/>
                <w:rtl/>
              </w:rPr>
              <w:t>(להלן</w:t>
            </w:r>
            <w:r w:rsidRPr="002E56F6">
              <w:rPr>
                <w:rFonts w:hint="cs"/>
                <w:sz w:val="26"/>
              </w:rPr>
              <w:t xml:space="preserve"> </w:t>
            </w:r>
            <w:r w:rsidRPr="002E56F6">
              <w:rPr>
                <w:sz w:val="26"/>
                <w:rtl/>
              </w:rPr>
              <w:t>–</w:t>
            </w:r>
            <w:r w:rsidRPr="002E56F6">
              <w:rPr>
                <w:rFonts w:hint="cs"/>
                <w:sz w:val="26"/>
                <w:rtl/>
              </w:rPr>
              <w:t xml:space="preserve"> חוק בתי המשפט);</w:t>
            </w:r>
          </w:p>
        </w:tc>
      </w:tr>
      <w:tr w:rsidR="006243D6" w:rsidRPr="002E56F6" w14:paraId="455448B8" w14:textId="77777777" w:rsidTr="006B7E67">
        <w:trPr>
          <w:cantSplit/>
        </w:trPr>
        <w:tc>
          <w:tcPr>
            <w:tcW w:w="1870" w:type="dxa"/>
          </w:tcPr>
          <w:p w14:paraId="70AF532B" w14:textId="77777777" w:rsidR="006243D6" w:rsidRPr="002E56F6" w:rsidRDefault="006243D6" w:rsidP="006B7E67">
            <w:pPr>
              <w:pStyle w:val="TableSideHeading"/>
              <w:keepLines w:val="0"/>
              <w:rPr>
                <w:rFonts w:eastAsia="Times New Roman"/>
                <w:sz w:val="26"/>
                <w:rtl/>
                <w:lang w:eastAsia="en-US"/>
              </w:rPr>
            </w:pPr>
          </w:p>
        </w:tc>
        <w:tc>
          <w:tcPr>
            <w:tcW w:w="624" w:type="dxa"/>
          </w:tcPr>
          <w:p w14:paraId="11168E56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2"/>
          </w:tcPr>
          <w:p w14:paraId="295F3A82" w14:textId="77777777" w:rsidR="006243D6" w:rsidRPr="002E56F6" w:rsidRDefault="006243D6" w:rsidP="006B7E67">
            <w:pPr>
              <w:pStyle w:val="TableBlockOutdent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"השר"</w:t>
            </w:r>
            <w:r w:rsidRPr="002E56F6">
              <w:rPr>
                <w:rFonts w:hint="cs"/>
                <w:sz w:val="26"/>
              </w:rPr>
              <w:t xml:space="preserve"> </w:t>
            </w:r>
            <w:r w:rsidRPr="002E56F6">
              <w:rPr>
                <w:rFonts w:hint="cs"/>
                <w:sz w:val="26"/>
                <w:rtl/>
              </w:rPr>
              <w:t>–</w:t>
            </w:r>
            <w:r w:rsidRPr="002E56F6">
              <w:rPr>
                <w:sz w:val="26"/>
                <w:rtl/>
              </w:rPr>
              <w:t xml:space="preserve"> שר המשפטים</w:t>
            </w:r>
            <w:r w:rsidRPr="002E56F6">
              <w:rPr>
                <w:rFonts w:hint="cs"/>
                <w:sz w:val="26"/>
                <w:rtl/>
              </w:rPr>
              <w:t>.</w:t>
            </w:r>
          </w:p>
        </w:tc>
      </w:tr>
      <w:tr w:rsidR="006243D6" w:rsidRPr="002E56F6" w14:paraId="35DF9222" w14:textId="77777777" w:rsidTr="006B7E67">
        <w:trPr>
          <w:cantSplit/>
        </w:trPr>
        <w:tc>
          <w:tcPr>
            <w:tcW w:w="1870" w:type="dxa"/>
          </w:tcPr>
          <w:p w14:paraId="4D769D39" w14:textId="77777777" w:rsidR="006243D6" w:rsidRPr="002E56F6" w:rsidRDefault="006243D6" w:rsidP="006B7E67">
            <w:pPr>
              <w:pStyle w:val="TableSideHeading"/>
              <w:keepLines w:val="0"/>
              <w:rPr>
                <w:rFonts w:eastAsia="Times New Roman"/>
                <w:sz w:val="26"/>
                <w:rtl/>
                <w:lang w:eastAsia="en-US"/>
              </w:rPr>
            </w:pPr>
            <w:r w:rsidRPr="002E56F6">
              <w:rPr>
                <w:rFonts w:eastAsia="Times New Roman"/>
                <w:sz w:val="26"/>
                <w:rtl/>
                <w:lang w:eastAsia="en-US"/>
              </w:rPr>
              <w:t>הנציבות</w:t>
            </w:r>
          </w:p>
        </w:tc>
        <w:tc>
          <w:tcPr>
            <w:tcW w:w="624" w:type="dxa"/>
          </w:tcPr>
          <w:p w14:paraId="5A7A8080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  <w:r w:rsidRPr="002E56F6">
              <w:rPr>
                <w:rFonts w:hint="cs"/>
                <w:sz w:val="26"/>
                <w:rtl/>
              </w:rPr>
              <w:t>3.</w:t>
            </w:r>
          </w:p>
        </w:tc>
        <w:tc>
          <w:tcPr>
            <w:tcW w:w="7144" w:type="dxa"/>
            <w:gridSpan w:val="2"/>
          </w:tcPr>
          <w:p w14:paraId="28A0A4D0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הנציבות היא יחידה ייעודית עצמאית במשרד המשפטים</w:t>
            </w:r>
            <w:r w:rsidRPr="002E56F6">
              <w:rPr>
                <w:rFonts w:hint="cs"/>
                <w:sz w:val="26"/>
                <w:rtl/>
              </w:rPr>
              <w:t>,</w:t>
            </w:r>
            <w:r w:rsidRPr="002E56F6">
              <w:rPr>
                <w:sz w:val="26"/>
                <w:rtl/>
              </w:rPr>
              <w:t xml:space="preserve"> </w:t>
            </w:r>
            <w:r w:rsidRPr="002E56F6">
              <w:rPr>
                <w:rFonts w:hint="cs"/>
                <w:sz w:val="26"/>
                <w:rtl/>
              </w:rPr>
              <w:t>ש</w:t>
            </w:r>
            <w:r w:rsidRPr="002E56F6">
              <w:rPr>
                <w:sz w:val="26"/>
                <w:rtl/>
              </w:rPr>
              <w:t>תפעל לבדיקה יזומה ושיטתית של התנהלות הגופים המבוקרים בהתאם למטרות החוק.</w:t>
            </w:r>
            <w:r w:rsidRPr="002E56F6">
              <w:rPr>
                <w:rFonts w:hint="cs"/>
                <w:sz w:val="26"/>
                <w:rtl/>
              </w:rPr>
              <w:t xml:space="preserve"> </w:t>
            </w:r>
          </w:p>
        </w:tc>
      </w:tr>
      <w:tr w:rsidR="006243D6" w:rsidRPr="002E56F6" w14:paraId="180761FF" w14:textId="77777777" w:rsidTr="006B7E67">
        <w:trPr>
          <w:cantSplit/>
        </w:trPr>
        <w:tc>
          <w:tcPr>
            <w:tcW w:w="1870" w:type="dxa"/>
          </w:tcPr>
          <w:p w14:paraId="5CF602A2" w14:textId="77777777" w:rsidR="006243D6" w:rsidRPr="002E56F6" w:rsidRDefault="006243D6" w:rsidP="006B7E67">
            <w:pPr>
              <w:pStyle w:val="TableSideHeading"/>
              <w:keepLines w:val="0"/>
              <w:rPr>
                <w:rFonts w:eastAsia="Times New Roman"/>
                <w:sz w:val="26"/>
                <w:rtl/>
                <w:lang w:eastAsia="en-US"/>
              </w:rPr>
            </w:pPr>
            <w:r w:rsidRPr="002E56F6">
              <w:rPr>
                <w:rFonts w:eastAsia="Times New Roman"/>
                <w:sz w:val="26"/>
                <w:rtl/>
                <w:lang w:eastAsia="en-US"/>
              </w:rPr>
              <w:t>סמכויות הנציבות</w:t>
            </w:r>
          </w:p>
        </w:tc>
        <w:tc>
          <w:tcPr>
            <w:tcW w:w="624" w:type="dxa"/>
          </w:tcPr>
          <w:p w14:paraId="64CFEA59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  <w:r w:rsidRPr="002E56F6">
              <w:rPr>
                <w:rFonts w:hint="cs"/>
                <w:sz w:val="26"/>
                <w:rtl/>
              </w:rPr>
              <w:t>4.</w:t>
            </w:r>
          </w:p>
        </w:tc>
        <w:tc>
          <w:tcPr>
            <w:tcW w:w="7144" w:type="dxa"/>
            <w:gridSpan w:val="2"/>
          </w:tcPr>
          <w:p w14:paraId="175E4EF2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rFonts w:hint="cs"/>
                <w:sz w:val="26"/>
                <w:rtl/>
              </w:rPr>
              <w:t>ׁׁ(א)</w:t>
            </w:r>
            <w:r w:rsidRPr="002E56F6">
              <w:rPr>
                <w:sz w:val="26"/>
                <w:rtl/>
              </w:rPr>
              <w:tab/>
            </w:r>
            <w:r w:rsidRPr="002E56F6">
              <w:rPr>
                <w:rFonts w:hint="cs"/>
                <w:sz w:val="26"/>
                <w:rtl/>
              </w:rPr>
              <w:t xml:space="preserve">הנציבות מוסמכת </w:t>
            </w:r>
            <w:r w:rsidRPr="002E56F6">
              <w:rPr>
                <w:sz w:val="26"/>
                <w:rtl/>
              </w:rPr>
              <w:t>לקיים בדיקה מערכתית יזומה ושיטתית של התנהלות הגופים המבוקרים (להלן – ביקורת מערכתית).</w:t>
            </w:r>
          </w:p>
        </w:tc>
      </w:tr>
      <w:tr w:rsidR="006243D6" w:rsidRPr="002E56F6" w14:paraId="0BB513D1" w14:textId="77777777" w:rsidTr="006B7E67">
        <w:trPr>
          <w:cantSplit/>
        </w:trPr>
        <w:tc>
          <w:tcPr>
            <w:tcW w:w="1870" w:type="dxa"/>
          </w:tcPr>
          <w:p w14:paraId="6E47436F" w14:textId="77777777" w:rsidR="006243D6" w:rsidRPr="002E56F6" w:rsidRDefault="006243D6" w:rsidP="006B7E67">
            <w:pPr>
              <w:pStyle w:val="TableSideHeading"/>
              <w:keepLines w:val="0"/>
              <w:rPr>
                <w:rFonts w:eastAsia="Times New Roman"/>
                <w:sz w:val="26"/>
                <w:rtl/>
                <w:lang w:eastAsia="en-US"/>
              </w:rPr>
            </w:pPr>
          </w:p>
        </w:tc>
        <w:tc>
          <w:tcPr>
            <w:tcW w:w="624" w:type="dxa"/>
          </w:tcPr>
          <w:p w14:paraId="3EF2E452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2"/>
          </w:tcPr>
          <w:p w14:paraId="072E0651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rFonts w:hint="cs"/>
                <w:sz w:val="26"/>
                <w:rtl/>
              </w:rPr>
              <w:t>(ב)</w:t>
            </w:r>
            <w:r w:rsidRPr="002E56F6">
              <w:rPr>
                <w:rFonts w:hint="cs"/>
                <w:sz w:val="26"/>
                <w:rtl/>
              </w:rPr>
              <w:tab/>
              <w:t xml:space="preserve">הנציבות מוסמכת </w:t>
            </w:r>
            <w:r w:rsidRPr="002E56F6">
              <w:rPr>
                <w:sz w:val="26"/>
                <w:rtl/>
              </w:rPr>
              <w:t xml:space="preserve">לברר תלונות פרטניות </w:t>
            </w:r>
            <w:r w:rsidRPr="002E56F6">
              <w:rPr>
                <w:rFonts w:hint="cs"/>
                <w:sz w:val="26"/>
                <w:rtl/>
              </w:rPr>
              <w:t>במקרים</w:t>
            </w:r>
            <w:r w:rsidRPr="002E56F6">
              <w:rPr>
                <w:sz w:val="26"/>
                <w:rtl/>
              </w:rPr>
              <w:t xml:space="preserve"> </w:t>
            </w:r>
            <w:r w:rsidRPr="002E56F6">
              <w:rPr>
                <w:rFonts w:hint="cs"/>
                <w:sz w:val="26"/>
                <w:rtl/>
              </w:rPr>
              <w:t>אלה:</w:t>
            </w:r>
          </w:p>
        </w:tc>
      </w:tr>
      <w:tr w:rsidR="006243D6" w:rsidRPr="002E56F6" w14:paraId="670B2564" w14:textId="77777777" w:rsidTr="006B7E67">
        <w:trPr>
          <w:cantSplit/>
        </w:trPr>
        <w:tc>
          <w:tcPr>
            <w:tcW w:w="1870" w:type="dxa"/>
          </w:tcPr>
          <w:p w14:paraId="3CC5E9DB" w14:textId="77777777" w:rsidR="006243D6" w:rsidRPr="002E56F6" w:rsidRDefault="006243D6" w:rsidP="006B7E67">
            <w:pPr>
              <w:pStyle w:val="TableSideHeading"/>
              <w:rPr>
                <w:sz w:val="26"/>
              </w:rPr>
            </w:pPr>
          </w:p>
        </w:tc>
        <w:tc>
          <w:tcPr>
            <w:tcW w:w="624" w:type="dxa"/>
          </w:tcPr>
          <w:p w14:paraId="0FA9417D" w14:textId="77777777" w:rsidR="006243D6" w:rsidRPr="002E56F6" w:rsidRDefault="006243D6" w:rsidP="006B7E67">
            <w:pPr>
              <w:pStyle w:val="TableText"/>
              <w:rPr>
                <w:sz w:val="26"/>
              </w:rPr>
            </w:pPr>
          </w:p>
        </w:tc>
        <w:tc>
          <w:tcPr>
            <w:tcW w:w="624" w:type="dxa"/>
          </w:tcPr>
          <w:p w14:paraId="6B422476" w14:textId="77777777" w:rsidR="006243D6" w:rsidRPr="002E56F6" w:rsidRDefault="006243D6" w:rsidP="006B7E67">
            <w:pPr>
              <w:pStyle w:val="TableText"/>
              <w:jc w:val="both"/>
              <w:rPr>
                <w:sz w:val="26"/>
              </w:rPr>
            </w:pPr>
          </w:p>
        </w:tc>
        <w:tc>
          <w:tcPr>
            <w:tcW w:w="6520" w:type="dxa"/>
          </w:tcPr>
          <w:p w14:paraId="637DAAB7" w14:textId="77777777" w:rsidR="006243D6" w:rsidRPr="002E56F6" w:rsidRDefault="006243D6" w:rsidP="006B7E67">
            <w:pPr>
              <w:pStyle w:val="TableBlock"/>
              <w:rPr>
                <w:sz w:val="26"/>
              </w:rPr>
            </w:pPr>
            <w:r w:rsidRPr="002E56F6">
              <w:rPr>
                <w:rFonts w:hint="cs"/>
                <w:sz w:val="26"/>
                <w:rtl/>
              </w:rPr>
              <w:t>(1</w:t>
            </w:r>
            <w:r w:rsidRPr="002E56F6">
              <w:rPr>
                <w:sz w:val="26"/>
                <w:rtl/>
              </w:rPr>
              <w:t>)</w:t>
            </w:r>
            <w:r w:rsidRPr="002E56F6">
              <w:rPr>
                <w:sz w:val="26"/>
                <w:rtl/>
              </w:rPr>
              <w:tab/>
              <w:t>הוגשה תלונה לנציבות על ידי מתלונן והנציב ראה שיש</w:t>
            </w:r>
            <w:r w:rsidRPr="002E56F6">
              <w:rPr>
                <w:rFonts w:hint="cs"/>
                <w:sz w:val="26"/>
                <w:rtl/>
              </w:rPr>
              <w:tab/>
            </w:r>
            <w:r w:rsidRPr="002E56F6">
              <w:rPr>
                <w:sz w:val="26"/>
                <w:rtl/>
              </w:rPr>
              <w:t>מקום לבררה</w:t>
            </w:r>
            <w:r w:rsidRPr="002E56F6">
              <w:rPr>
                <w:rFonts w:hint="cs"/>
                <w:sz w:val="26"/>
                <w:rtl/>
              </w:rPr>
              <w:t>;</w:t>
            </w:r>
          </w:p>
        </w:tc>
      </w:tr>
      <w:tr w:rsidR="006243D6" w:rsidRPr="002E56F6" w14:paraId="1168489F" w14:textId="77777777" w:rsidTr="006B7E67">
        <w:trPr>
          <w:cantSplit/>
        </w:trPr>
        <w:tc>
          <w:tcPr>
            <w:tcW w:w="1870" w:type="dxa"/>
          </w:tcPr>
          <w:p w14:paraId="31A65149" w14:textId="77777777" w:rsidR="006243D6" w:rsidRPr="002E56F6" w:rsidRDefault="006243D6" w:rsidP="006B7E67">
            <w:pPr>
              <w:pStyle w:val="TableSideHeading"/>
              <w:rPr>
                <w:sz w:val="26"/>
              </w:rPr>
            </w:pPr>
          </w:p>
        </w:tc>
        <w:tc>
          <w:tcPr>
            <w:tcW w:w="624" w:type="dxa"/>
          </w:tcPr>
          <w:p w14:paraId="54891CD5" w14:textId="77777777" w:rsidR="006243D6" w:rsidRPr="002E56F6" w:rsidRDefault="006243D6" w:rsidP="006B7E67">
            <w:pPr>
              <w:pStyle w:val="TableText"/>
              <w:rPr>
                <w:sz w:val="26"/>
              </w:rPr>
            </w:pPr>
          </w:p>
        </w:tc>
        <w:tc>
          <w:tcPr>
            <w:tcW w:w="624" w:type="dxa"/>
          </w:tcPr>
          <w:p w14:paraId="2B2403E0" w14:textId="77777777" w:rsidR="006243D6" w:rsidRPr="002E56F6" w:rsidRDefault="006243D6" w:rsidP="006B7E67">
            <w:pPr>
              <w:pStyle w:val="TableText"/>
              <w:jc w:val="both"/>
              <w:rPr>
                <w:sz w:val="26"/>
              </w:rPr>
            </w:pPr>
          </w:p>
        </w:tc>
        <w:tc>
          <w:tcPr>
            <w:tcW w:w="6520" w:type="dxa"/>
          </w:tcPr>
          <w:p w14:paraId="1FB582D1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rFonts w:hint="cs"/>
                <w:sz w:val="26"/>
                <w:rtl/>
              </w:rPr>
              <w:t>(2)</w:t>
            </w:r>
            <w:r w:rsidRPr="002E56F6">
              <w:rPr>
                <w:sz w:val="26"/>
                <w:rtl/>
              </w:rPr>
              <w:tab/>
              <w:t xml:space="preserve">השר או היועץ המשפטי לממשלה </w:t>
            </w:r>
            <w:r w:rsidRPr="002E56F6">
              <w:rPr>
                <w:rFonts w:hint="cs"/>
                <w:sz w:val="26"/>
                <w:rtl/>
              </w:rPr>
              <w:t xml:space="preserve">פנו בבקשה </w:t>
            </w:r>
            <w:r w:rsidRPr="002E56F6">
              <w:rPr>
                <w:sz w:val="26"/>
                <w:rtl/>
              </w:rPr>
              <w:t>בהתייחס לאירוע</w:t>
            </w:r>
            <w:r w:rsidRPr="002E56F6">
              <w:rPr>
                <w:rFonts w:hint="cs"/>
                <w:sz w:val="26"/>
              </w:rPr>
              <w:t xml:space="preserve"> </w:t>
            </w:r>
            <w:r w:rsidRPr="002E56F6">
              <w:rPr>
                <w:sz w:val="26"/>
                <w:rtl/>
              </w:rPr>
              <w:t>מסוים</w:t>
            </w:r>
            <w:r w:rsidRPr="002E56F6">
              <w:rPr>
                <w:rFonts w:hint="cs"/>
                <w:sz w:val="26"/>
                <w:rtl/>
              </w:rPr>
              <w:t>;</w:t>
            </w:r>
          </w:p>
        </w:tc>
      </w:tr>
      <w:tr w:rsidR="006243D6" w:rsidRPr="002E56F6" w14:paraId="119270DB" w14:textId="77777777" w:rsidTr="006B7E67">
        <w:trPr>
          <w:cantSplit/>
        </w:trPr>
        <w:tc>
          <w:tcPr>
            <w:tcW w:w="1870" w:type="dxa"/>
          </w:tcPr>
          <w:p w14:paraId="68B6B42E" w14:textId="77777777" w:rsidR="006243D6" w:rsidRPr="002E56F6" w:rsidRDefault="006243D6" w:rsidP="006B7E67">
            <w:pPr>
              <w:pStyle w:val="TableSideHeading"/>
              <w:rPr>
                <w:sz w:val="26"/>
              </w:rPr>
            </w:pPr>
          </w:p>
        </w:tc>
        <w:tc>
          <w:tcPr>
            <w:tcW w:w="624" w:type="dxa"/>
          </w:tcPr>
          <w:p w14:paraId="442B404C" w14:textId="77777777" w:rsidR="006243D6" w:rsidRPr="002E56F6" w:rsidRDefault="006243D6" w:rsidP="006B7E67">
            <w:pPr>
              <w:pStyle w:val="TableText"/>
              <w:rPr>
                <w:sz w:val="26"/>
              </w:rPr>
            </w:pPr>
          </w:p>
        </w:tc>
        <w:tc>
          <w:tcPr>
            <w:tcW w:w="624" w:type="dxa"/>
          </w:tcPr>
          <w:p w14:paraId="4A4E798D" w14:textId="77777777" w:rsidR="006243D6" w:rsidRPr="002E56F6" w:rsidRDefault="006243D6" w:rsidP="006B7E67">
            <w:pPr>
              <w:pStyle w:val="TableText"/>
              <w:jc w:val="both"/>
              <w:rPr>
                <w:sz w:val="26"/>
              </w:rPr>
            </w:pPr>
          </w:p>
        </w:tc>
        <w:tc>
          <w:tcPr>
            <w:tcW w:w="6520" w:type="dxa"/>
          </w:tcPr>
          <w:p w14:paraId="3F99FD2D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(3)</w:t>
            </w:r>
            <w:r w:rsidRPr="002E56F6">
              <w:rPr>
                <w:sz w:val="26"/>
                <w:rtl/>
              </w:rPr>
              <w:tab/>
              <w:t>נודע לנציב על אירוע אשר יש צורך לדעתו למצות את</w:t>
            </w:r>
            <w:r w:rsidRPr="002E56F6">
              <w:rPr>
                <w:rFonts w:hint="cs"/>
                <w:sz w:val="26"/>
                <w:rtl/>
              </w:rPr>
              <w:t xml:space="preserve"> </w:t>
            </w:r>
            <w:r w:rsidRPr="002E56F6">
              <w:rPr>
                <w:sz w:val="26"/>
                <w:rtl/>
              </w:rPr>
              <w:t>הבירור בעניין.</w:t>
            </w:r>
          </w:p>
        </w:tc>
      </w:tr>
      <w:tr w:rsidR="006243D6" w:rsidRPr="002E56F6" w14:paraId="03F2B073" w14:textId="77777777" w:rsidTr="006B7E67">
        <w:trPr>
          <w:cantSplit/>
        </w:trPr>
        <w:tc>
          <w:tcPr>
            <w:tcW w:w="1870" w:type="dxa"/>
          </w:tcPr>
          <w:p w14:paraId="3A003C4E" w14:textId="77777777" w:rsidR="006243D6" w:rsidRPr="002E56F6" w:rsidRDefault="006243D6" w:rsidP="006B7E67">
            <w:pPr>
              <w:pStyle w:val="TableSideHeading"/>
              <w:keepLines w:val="0"/>
              <w:rPr>
                <w:rFonts w:eastAsia="Times New Roman"/>
                <w:sz w:val="26"/>
                <w:rtl/>
                <w:lang w:eastAsia="en-US"/>
              </w:rPr>
            </w:pPr>
            <w:r w:rsidRPr="002E56F6">
              <w:rPr>
                <w:rFonts w:eastAsia="Times New Roman"/>
                <w:sz w:val="26"/>
                <w:rtl/>
                <w:lang w:eastAsia="en-US"/>
              </w:rPr>
              <w:t>תלונות שאין לבררן</w:t>
            </w:r>
          </w:p>
        </w:tc>
        <w:tc>
          <w:tcPr>
            <w:tcW w:w="624" w:type="dxa"/>
          </w:tcPr>
          <w:p w14:paraId="36163F66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  <w:r w:rsidRPr="002E56F6">
              <w:rPr>
                <w:rFonts w:hint="cs"/>
                <w:sz w:val="26"/>
                <w:rtl/>
              </w:rPr>
              <w:t>5.</w:t>
            </w:r>
          </w:p>
        </w:tc>
        <w:tc>
          <w:tcPr>
            <w:tcW w:w="7144" w:type="dxa"/>
            <w:gridSpan w:val="2"/>
          </w:tcPr>
          <w:p w14:paraId="0E8AF557" w14:textId="77777777" w:rsidR="006243D6" w:rsidRPr="002E56F6" w:rsidRDefault="006243D6" w:rsidP="006B7E67">
            <w:pPr>
              <w:pStyle w:val="TableBlock"/>
              <w:rPr>
                <w:sz w:val="26"/>
              </w:rPr>
            </w:pPr>
            <w:r w:rsidRPr="002E56F6">
              <w:rPr>
                <w:sz w:val="26"/>
                <w:rtl/>
              </w:rPr>
              <w:t>לא תתברר תלונה ולא תתקיים ביקורת</w:t>
            </w:r>
            <w:r w:rsidRPr="002E56F6">
              <w:rPr>
                <w:rFonts w:hint="cs"/>
                <w:sz w:val="26"/>
                <w:rtl/>
              </w:rPr>
              <w:t xml:space="preserve"> במקרים אלה</w:t>
            </w:r>
            <w:r w:rsidRPr="002E56F6">
              <w:rPr>
                <w:sz w:val="26"/>
                <w:rtl/>
              </w:rPr>
              <w:t xml:space="preserve">: </w:t>
            </w:r>
          </w:p>
        </w:tc>
      </w:tr>
      <w:tr w:rsidR="006243D6" w:rsidRPr="002E56F6" w14:paraId="12C2D3D7" w14:textId="77777777" w:rsidTr="006B7E67">
        <w:trPr>
          <w:cantSplit/>
          <w:trHeight w:val="60"/>
        </w:trPr>
        <w:tc>
          <w:tcPr>
            <w:tcW w:w="1870" w:type="dxa"/>
          </w:tcPr>
          <w:p w14:paraId="1067D4D7" w14:textId="77777777" w:rsidR="006243D6" w:rsidRPr="002E56F6" w:rsidRDefault="006243D6" w:rsidP="006B7E67">
            <w:pPr>
              <w:pStyle w:val="TableSideHeading"/>
              <w:rPr>
                <w:sz w:val="26"/>
              </w:rPr>
            </w:pPr>
          </w:p>
        </w:tc>
        <w:tc>
          <w:tcPr>
            <w:tcW w:w="624" w:type="dxa"/>
          </w:tcPr>
          <w:p w14:paraId="7A5D0442" w14:textId="77777777" w:rsidR="006243D6" w:rsidRPr="002E56F6" w:rsidRDefault="006243D6" w:rsidP="006B7E67">
            <w:pPr>
              <w:pStyle w:val="TableText"/>
              <w:rPr>
                <w:sz w:val="26"/>
              </w:rPr>
            </w:pPr>
          </w:p>
        </w:tc>
        <w:tc>
          <w:tcPr>
            <w:tcW w:w="7144" w:type="dxa"/>
            <w:gridSpan w:val="2"/>
          </w:tcPr>
          <w:p w14:paraId="5D79551B" w14:textId="77777777" w:rsidR="006243D6" w:rsidRPr="002E56F6" w:rsidRDefault="006243D6" w:rsidP="006B7E67">
            <w:pPr>
              <w:pStyle w:val="TableBlock"/>
              <w:rPr>
                <w:sz w:val="26"/>
              </w:rPr>
            </w:pPr>
            <w:r w:rsidRPr="002E56F6">
              <w:rPr>
                <w:sz w:val="26"/>
                <w:rtl/>
              </w:rPr>
              <w:t>1)</w:t>
            </w:r>
            <w:r w:rsidRPr="002E56F6">
              <w:rPr>
                <w:sz w:val="26"/>
                <w:rtl/>
              </w:rPr>
              <w:tab/>
              <w:t>בעניין התלוי ועומד בהליך משפטי, אלא אם כן התלונה מתייחסת  להתמשכות ההליכים;</w:t>
            </w:r>
          </w:p>
        </w:tc>
      </w:tr>
      <w:tr w:rsidR="006243D6" w:rsidRPr="002E56F6" w14:paraId="1599572B" w14:textId="77777777" w:rsidTr="006B7E67">
        <w:trPr>
          <w:cantSplit/>
          <w:trHeight w:val="60"/>
        </w:trPr>
        <w:tc>
          <w:tcPr>
            <w:tcW w:w="1870" w:type="dxa"/>
          </w:tcPr>
          <w:p w14:paraId="57458937" w14:textId="77777777" w:rsidR="006243D6" w:rsidRPr="002E56F6" w:rsidRDefault="006243D6" w:rsidP="006B7E67">
            <w:pPr>
              <w:pStyle w:val="TableSideHeading"/>
              <w:rPr>
                <w:sz w:val="26"/>
              </w:rPr>
            </w:pPr>
          </w:p>
        </w:tc>
        <w:tc>
          <w:tcPr>
            <w:tcW w:w="624" w:type="dxa"/>
          </w:tcPr>
          <w:p w14:paraId="21ADDFF8" w14:textId="77777777" w:rsidR="006243D6" w:rsidRPr="002E56F6" w:rsidRDefault="006243D6" w:rsidP="006B7E67">
            <w:pPr>
              <w:pStyle w:val="TableText"/>
              <w:rPr>
                <w:sz w:val="26"/>
              </w:rPr>
            </w:pPr>
          </w:p>
        </w:tc>
        <w:tc>
          <w:tcPr>
            <w:tcW w:w="7144" w:type="dxa"/>
            <w:gridSpan w:val="2"/>
          </w:tcPr>
          <w:p w14:paraId="2675F088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(2)</w:t>
            </w:r>
            <w:r w:rsidRPr="002E56F6">
              <w:rPr>
                <w:sz w:val="26"/>
                <w:rtl/>
              </w:rPr>
              <w:tab/>
              <w:t>התלונה מתייחסת להפעלת שיקול דעת משפטי גרידא;</w:t>
            </w:r>
          </w:p>
        </w:tc>
      </w:tr>
      <w:tr w:rsidR="006243D6" w:rsidRPr="002E56F6" w14:paraId="7BB9BF3D" w14:textId="77777777" w:rsidTr="006B7E67">
        <w:trPr>
          <w:cantSplit/>
          <w:trHeight w:val="60"/>
        </w:trPr>
        <w:tc>
          <w:tcPr>
            <w:tcW w:w="1870" w:type="dxa"/>
          </w:tcPr>
          <w:p w14:paraId="36B1C438" w14:textId="77777777" w:rsidR="006243D6" w:rsidRPr="002E56F6" w:rsidRDefault="006243D6" w:rsidP="006B7E67">
            <w:pPr>
              <w:pStyle w:val="TableSideHeading"/>
              <w:rPr>
                <w:sz w:val="26"/>
              </w:rPr>
            </w:pPr>
          </w:p>
        </w:tc>
        <w:tc>
          <w:tcPr>
            <w:tcW w:w="624" w:type="dxa"/>
          </w:tcPr>
          <w:p w14:paraId="5CC169A4" w14:textId="77777777" w:rsidR="006243D6" w:rsidRPr="002E56F6" w:rsidRDefault="006243D6" w:rsidP="006B7E67">
            <w:pPr>
              <w:pStyle w:val="TableText"/>
              <w:rPr>
                <w:sz w:val="26"/>
              </w:rPr>
            </w:pPr>
          </w:p>
        </w:tc>
        <w:tc>
          <w:tcPr>
            <w:tcW w:w="7144" w:type="dxa"/>
            <w:gridSpan w:val="2"/>
          </w:tcPr>
          <w:p w14:paraId="02FE957E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rFonts w:hint="cs"/>
                <w:sz w:val="26"/>
                <w:rtl/>
              </w:rPr>
              <w:t>(3)</w:t>
            </w:r>
            <w:r w:rsidRPr="002E56F6">
              <w:rPr>
                <w:sz w:val="26"/>
                <w:rtl/>
              </w:rPr>
              <w:tab/>
            </w:r>
            <w:r w:rsidRPr="002E56F6">
              <w:rPr>
                <w:rFonts w:hint="cs"/>
                <w:sz w:val="26"/>
                <w:rtl/>
              </w:rPr>
              <w:t>התלונה מתייחסת ל</w:t>
            </w:r>
            <w:r w:rsidRPr="002E56F6">
              <w:rPr>
                <w:sz w:val="26"/>
                <w:rtl/>
              </w:rPr>
              <w:t>החלטות מדיניות של היועץ המשפטי לממשלה בתפקידו כראש</w:t>
            </w:r>
            <w:r w:rsidRPr="002E56F6">
              <w:rPr>
                <w:rFonts w:hint="cs"/>
                <w:sz w:val="26"/>
                <w:rtl/>
              </w:rPr>
              <w:t xml:space="preserve"> </w:t>
            </w:r>
            <w:r w:rsidRPr="002E56F6">
              <w:rPr>
                <w:sz w:val="26"/>
                <w:rtl/>
              </w:rPr>
              <w:t>התביעה הכללית</w:t>
            </w:r>
            <w:r w:rsidRPr="002E56F6">
              <w:rPr>
                <w:rFonts w:hint="cs"/>
                <w:sz w:val="26"/>
                <w:rtl/>
              </w:rPr>
              <w:t>;</w:t>
            </w:r>
          </w:p>
        </w:tc>
      </w:tr>
      <w:tr w:rsidR="006243D6" w:rsidRPr="002E56F6" w14:paraId="0B62338E" w14:textId="77777777" w:rsidTr="006B7E67">
        <w:trPr>
          <w:cantSplit/>
          <w:trHeight w:val="60"/>
        </w:trPr>
        <w:tc>
          <w:tcPr>
            <w:tcW w:w="1870" w:type="dxa"/>
          </w:tcPr>
          <w:p w14:paraId="1FEA7768" w14:textId="77777777" w:rsidR="006243D6" w:rsidRPr="002E56F6" w:rsidRDefault="006243D6" w:rsidP="006B7E67">
            <w:pPr>
              <w:pStyle w:val="TableSideHeading"/>
              <w:rPr>
                <w:sz w:val="26"/>
              </w:rPr>
            </w:pPr>
          </w:p>
        </w:tc>
        <w:tc>
          <w:tcPr>
            <w:tcW w:w="624" w:type="dxa"/>
          </w:tcPr>
          <w:p w14:paraId="00F39F16" w14:textId="77777777" w:rsidR="006243D6" w:rsidRPr="002E56F6" w:rsidRDefault="006243D6" w:rsidP="006B7E67">
            <w:pPr>
              <w:pStyle w:val="TableText"/>
              <w:rPr>
                <w:sz w:val="26"/>
              </w:rPr>
            </w:pPr>
          </w:p>
        </w:tc>
        <w:tc>
          <w:tcPr>
            <w:tcW w:w="7144" w:type="dxa"/>
            <w:gridSpan w:val="2"/>
          </w:tcPr>
          <w:p w14:paraId="1D2ABB5A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rFonts w:hint="cs"/>
                <w:sz w:val="26"/>
                <w:rtl/>
              </w:rPr>
              <w:t>(4)</w:t>
            </w:r>
            <w:r w:rsidRPr="002E56F6">
              <w:rPr>
                <w:sz w:val="26"/>
                <w:rtl/>
              </w:rPr>
              <w:tab/>
            </w:r>
            <w:r w:rsidRPr="002E56F6">
              <w:rPr>
                <w:rFonts w:hint="cs"/>
                <w:sz w:val="26"/>
                <w:rtl/>
              </w:rPr>
              <w:t>ה</w:t>
            </w:r>
            <w:r w:rsidRPr="002E56F6">
              <w:rPr>
                <w:sz w:val="26"/>
                <w:rtl/>
              </w:rPr>
              <w:t>תלונה</w:t>
            </w:r>
            <w:r w:rsidRPr="002E56F6">
              <w:rPr>
                <w:rFonts w:hint="cs"/>
                <w:sz w:val="26"/>
                <w:rtl/>
              </w:rPr>
              <w:t xml:space="preserve"> היא</w:t>
            </w:r>
            <w:r w:rsidRPr="002E56F6">
              <w:rPr>
                <w:sz w:val="26"/>
                <w:rtl/>
              </w:rPr>
              <w:t xml:space="preserve"> בעניין הניתן לערעור או ערר על פי דין</w:t>
            </w:r>
            <w:r w:rsidRPr="002E56F6">
              <w:rPr>
                <w:rFonts w:hint="cs"/>
                <w:sz w:val="26"/>
                <w:rtl/>
              </w:rPr>
              <w:t>;</w:t>
            </w:r>
          </w:p>
        </w:tc>
      </w:tr>
      <w:tr w:rsidR="006243D6" w:rsidRPr="002E56F6" w14:paraId="46A2D10C" w14:textId="77777777" w:rsidTr="006B7E67">
        <w:trPr>
          <w:cantSplit/>
          <w:trHeight w:val="60"/>
        </w:trPr>
        <w:tc>
          <w:tcPr>
            <w:tcW w:w="1870" w:type="dxa"/>
          </w:tcPr>
          <w:p w14:paraId="516094FB" w14:textId="77777777" w:rsidR="006243D6" w:rsidRPr="002E56F6" w:rsidRDefault="006243D6" w:rsidP="006B7E67">
            <w:pPr>
              <w:pStyle w:val="TableSideHeading"/>
              <w:rPr>
                <w:sz w:val="26"/>
              </w:rPr>
            </w:pPr>
          </w:p>
        </w:tc>
        <w:tc>
          <w:tcPr>
            <w:tcW w:w="624" w:type="dxa"/>
          </w:tcPr>
          <w:p w14:paraId="014040D5" w14:textId="77777777" w:rsidR="006243D6" w:rsidRPr="002E56F6" w:rsidRDefault="006243D6" w:rsidP="006B7E67">
            <w:pPr>
              <w:pStyle w:val="TableText"/>
              <w:rPr>
                <w:sz w:val="26"/>
              </w:rPr>
            </w:pPr>
          </w:p>
        </w:tc>
        <w:tc>
          <w:tcPr>
            <w:tcW w:w="7144" w:type="dxa"/>
            <w:gridSpan w:val="2"/>
          </w:tcPr>
          <w:p w14:paraId="1903ECDE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(5)</w:t>
            </w:r>
            <w:r w:rsidRPr="002E56F6">
              <w:rPr>
                <w:sz w:val="26"/>
                <w:rtl/>
              </w:rPr>
              <w:tab/>
              <w:t>התלונה עוסקת בעניין שלגביו מתקיימת באותה עת חקירת משטרה;</w:t>
            </w:r>
          </w:p>
        </w:tc>
      </w:tr>
      <w:tr w:rsidR="006243D6" w:rsidRPr="002E56F6" w14:paraId="574B9B2D" w14:textId="77777777" w:rsidTr="006B7E67">
        <w:trPr>
          <w:cantSplit/>
          <w:trHeight w:val="60"/>
        </w:trPr>
        <w:tc>
          <w:tcPr>
            <w:tcW w:w="1870" w:type="dxa"/>
          </w:tcPr>
          <w:p w14:paraId="6F3A9AE0" w14:textId="77777777" w:rsidR="006243D6" w:rsidRPr="002E56F6" w:rsidRDefault="006243D6" w:rsidP="006B7E67">
            <w:pPr>
              <w:pStyle w:val="TableSideHeading"/>
              <w:rPr>
                <w:sz w:val="26"/>
              </w:rPr>
            </w:pPr>
          </w:p>
        </w:tc>
        <w:tc>
          <w:tcPr>
            <w:tcW w:w="624" w:type="dxa"/>
          </w:tcPr>
          <w:p w14:paraId="36547FE8" w14:textId="77777777" w:rsidR="006243D6" w:rsidRPr="002E56F6" w:rsidRDefault="006243D6" w:rsidP="006B7E67">
            <w:pPr>
              <w:pStyle w:val="TableText"/>
              <w:rPr>
                <w:sz w:val="26"/>
              </w:rPr>
            </w:pPr>
          </w:p>
        </w:tc>
        <w:tc>
          <w:tcPr>
            <w:tcW w:w="7144" w:type="dxa"/>
            <w:gridSpan w:val="2"/>
          </w:tcPr>
          <w:p w14:paraId="62BBBCEC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(6)</w:t>
            </w:r>
            <w:r w:rsidRPr="002E56F6">
              <w:rPr>
                <w:sz w:val="26"/>
                <w:rtl/>
              </w:rPr>
              <w:tab/>
              <w:t>התלונה על פניה, היא קנטרנית או טורדנית או עוסקת בזוטי דברים;</w:t>
            </w:r>
          </w:p>
        </w:tc>
      </w:tr>
      <w:tr w:rsidR="006243D6" w:rsidRPr="002E56F6" w14:paraId="72B3DFF1" w14:textId="77777777" w:rsidTr="006B7E67">
        <w:trPr>
          <w:cantSplit/>
          <w:trHeight w:val="60"/>
        </w:trPr>
        <w:tc>
          <w:tcPr>
            <w:tcW w:w="1870" w:type="dxa"/>
          </w:tcPr>
          <w:p w14:paraId="0A8CE757" w14:textId="77777777" w:rsidR="006243D6" w:rsidRPr="002E56F6" w:rsidRDefault="006243D6" w:rsidP="006B7E67">
            <w:pPr>
              <w:pStyle w:val="TableSideHeading"/>
              <w:rPr>
                <w:sz w:val="26"/>
              </w:rPr>
            </w:pPr>
          </w:p>
        </w:tc>
        <w:tc>
          <w:tcPr>
            <w:tcW w:w="624" w:type="dxa"/>
          </w:tcPr>
          <w:p w14:paraId="5A93ADD9" w14:textId="77777777" w:rsidR="006243D6" w:rsidRPr="002E56F6" w:rsidRDefault="006243D6" w:rsidP="006B7E67">
            <w:pPr>
              <w:pStyle w:val="TableText"/>
              <w:rPr>
                <w:sz w:val="26"/>
              </w:rPr>
            </w:pPr>
          </w:p>
        </w:tc>
        <w:tc>
          <w:tcPr>
            <w:tcW w:w="7144" w:type="dxa"/>
            <w:gridSpan w:val="2"/>
          </w:tcPr>
          <w:p w14:paraId="6E815557" w14:textId="77777777" w:rsidR="006243D6" w:rsidRPr="002E56F6" w:rsidRDefault="006243D6" w:rsidP="006B7E67">
            <w:pPr>
              <w:pStyle w:val="TableBlock"/>
              <w:rPr>
                <w:b/>
                <w:bCs/>
                <w:sz w:val="26"/>
                <w:rtl/>
              </w:rPr>
            </w:pPr>
            <w:r w:rsidRPr="002E56F6">
              <w:rPr>
                <w:rFonts w:hint="cs"/>
                <w:sz w:val="26"/>
                <w:rtl/>
              </w:rPr>
              <w:t>(7)</w:t>
            </w:r>
            <w:r w:rsidRPr="002E56F6">
              <w:rPr>
                <w:sz w:val="26"/>
                <w:rtl/>
              </w:rPr>
              <w:tab/>
              <w:t>תלונה אנונימית</w:t>
            </w:r>
            <w:r w:rsidRPr="002E56F6">
              <w:rPr>
                <w:rFonts w:hint="cs"/>
                <w:sz w:val="26"/>
                <w:rtl/>
              </w:rPr>
              <w:t>;</w:t>
            </w:r>
          </w:p>
        </w:tc>
      </w:tr>
      <w:tr w:rsidR="006243D6" w:rsidRPr="002E56F6" w14:paraId="05D8386F" w14:textId="77777777" w:rsidTr="006B7E67">
        <w:trPr>
          <w:cantSplit/>
          <w:trHeight w:val="60"/>
        </w:trPr>
        <w:tc>
          <w:tcPr>
            <w:tcW w:w="1870" w:type="dxa"/>
          </w:tcPr>
          <w:p w14:paraId="79A30BC5" w14:textId="77777777" w:rsidR="006243D6" w:rsidRPr="002E56F6" w:rsidRDefault="006243D6" w:rsidP="006B7E67">
            <w:pPr>
              <w:pStyle w:val="TableSideHeading"/>
              <w:rPr>
                <w:sz w:val="26"/>
              </w:rPr>
            </w:pPr>
          </w:p>
        </w:tc>
        <w:tc>
          <w:tcPr>
            <w:tcW w:w="624" w:type="dxa"/>
          </w:tcPr>
          <w:p w14:paraId="7F078211" w14:textId="77777777" w:rsidR="006243D6" w:rsidRPr="002E56F6" w:rsidRDefault="006243D6" w:rsidP="006B7E67">
            <w:pPr>
              <w:pStyle w:val="TableText"/>
              <w:rPr>
                <w:sz w:val="26"/>
              </w:rPr>
            </w:pPr>
          </w:p>
        </w:tc>
        <w:tc>
          <w:tcPr>
            <w:tcW w:w="7144" w:type="dxa"/>
            <w:gridSpan w:val="2"/>
          </w:tcPr>
          <w:p w14:paraId="5E15CFF8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(8)</w:t>
            </w:r>
            <w:r w:rsidRPr="002E56F6">
              <w:rPr>
                <w:sz w:val="26"/>
                <w:rtl/>
              </w:rPr>
              <w:tab/>
              <w:t>תלונה שנושאה  בורר בעבר, או שמתברר במקביל להגשת התלונה לנציבות על ידי גוף ביקורת אחר.</w:t>
            </w:r>
          </w:p>
        </w:tc>
      </w:tr>
      <w:tr w:rsidR="006243D6" w:rsidRPr="002E56F6" w14:paraId="25E42433" w14:textId="77777777" w:rsidTr="006B7E67">
        <w:trPr>
          <w:cantSplit/>
        </w:trPr>
        <w:tc>
          <w:tcPr>
            <w:tcW w:w="1870" w:type="dxa"/>
          </w:tcPr>
          <w:p w14:paraId="52F9BDE9" w14:textId="77777777" w:rsidR="006243D6" w:rsidRPr="002E56F6" w:rsidRDefault="006243D6" w:rsidP="006B7E67">
            <w:pPr>
              <w:pStyle w:val="TableSideHeading"/>
              <w:ind w:right="0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 xml:space="preserve">תכנית עבודה שנתית </w:t>
            </w:r>
          </w:p>
        </w:tc>
        <w:tc>
          <w:tcPr>
            <w:tcW w:w="624" w:type="dxa"/>
          </w:tcPr>
          <w:p w14:paraId="51F76757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  <w:r w:rsidRPr="002E56F6">
              <w:rPr>
                <w:rFonts w:hint="cs"/>
                <w:sz w:val="26"/>
                <w:rtl/>
              </w:rPr>
              <w:t>6.</w:t>
            </w:r>
          </w:p>
        </w:tc>
        <w:tc>
          <w:tcPr>
            <w:tcW w:w="7144" w:type="dxa"/>
            <w:gridSpan w:val="2"/>
          </w:tcPr>
          <w:p w14:paraId="1B444A53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rFonts w:hint="cs"/>
                <w:sz w:val="26"/>
                <w:rtl/>
              </w:rPr>
              <w:t>(א)</w:t>
            </w:r>
            <w:r w:rsidRPr="002E56F6">
              <w:rPr>
                <w:sz w:val="26"/>
                <w:rtl/>
              </w:rPr>
              <w:tab/>
            </w:r>
            <w:r w:rsidRPr="002E56F6">
              <w:rPr>
                <w:rFonts w:hint="cs"/>
                <w:sz w:val="26"/>
                <w:rtl/>
              </w:rPr>
              <w:t>הנציב יקבע את תכנית הביקורת השנתית של הנציבות, ויהיה רשאי לערוך בה שינויים ולהוסיף לה מטלות, עליהן יחליט במקרים המתאימים.</w:t>
            </w:r>
          </w:p>
        </w:tc>
      </w:tr>
      <w:tr w:rsidR="006243D6" w:rsidRPr="002E56F6" w14:paraId="7AB7ECB0" w14:textId="77777777" w:rsidTr="006B7E67">
        <w:trPr>
          <w:cantSplit/>
        </w:trPr>
        <w:tc>
          <w:tcPr>
            <w:tcW w:w="1870" w:type="dxa"/>
          </w:tcPr>
          <w:p w14:paraId="3C4D8E65" w14:textId="77777777" w:rsidR="006243D6" w:rsidRPr="002E56F6" w:rsidRDefault="006243D6" w:rsidP="006B7E67">
            <w:pPr>
              <w:pStyle w:val="TableSideHeading"/>
              <w:keepLines w:val="0"/>
              <w:rPr>
                <w:rFonts w:eastAsia="Times New Roman"/>
                <w:sz w:val="26"/>
                <w:rtl/>
                <w:lang w:eastAsia="en-US"/>
              </w:rPr>
            </w:pPr>
          </w:p>
        </w:tc>
        <w:tc>
          <w:tcPr>
            <w:tcW w:w="624" w:type="dxa"/>
          </w:tcPr>
          <w:p w14:paraId="065C98AE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2"/>
          </w:tcPr>
          <w:p w14:paraId="2959F27A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rFonts w:hint="cs"/>
                <w:sz w:val="26"/>
                <w:rtl/>
              </w:rPr>
              <w:t>(ב)</w:t>
            </w:r>
            <w:r w:rsidRPr="002E56F6">
              <w:rPr>
                <w:sz w:val="26"/>
                <w:rtl/>
              </w:rPr>
              <w:tab/>
              <w:t>שר המשפטים והיועץ המשפטי לממשלה יהיו רשאים לבקש</w:t>
            </w:r>
            <w:r w:rsidRPr="002E56F6">
              <w:rPr>
                <w:rFonts w:hint="cs"/>
                <w:sz w:val="26"/>
                <w:rtl/>
              </w:rPr>
              <w:t xml:space="preserve"> </w:t>
            </w:r>
            <w:r w:rsidRPr="002E56F6">
              <w:rPr>
                <w:sz w:val="26"/>
                <w:rtl/>
              </w:rPr>
              <w:t>מהנציב לבצע מטלות ביקורת נוספות</w:t>
            </w:r>
            <w:r w:rsidRPr="002E56F6">
              <w:rPr>
                <w:rFonts w:hint="cs"/>
                <w:sz w:val="26"/>
                <w:rtl/>
              </w:rPr>
              <w:t>.</w:t>
            </w:r>
          </w:p>
        </w:tc>
      </w:tr>
      <w:tr w:rsidR="006243D6" w:rsidRPr="002E56F6" w14:paraId="4BC917D8" w14:textId="77777777" w:rsidTr="006B7E67">
        <w:trPr>
          <w:cantSplit/>
        </w:trPr>
        <w:tc>
          <w:tcPr>
            <w:tcW w:w="1870" w:type="dxa"/>
          </w:tcPr>
          <w:p w14:paraId="7D0008E1" w14:textId="77777777" w:rsidR="006243D6" w:rsidRPr="002E56F6" w:rsidRDefault="006243D6" w:rsidP="006B7E67">
            <w:pPr>
              <w:pStyle w:val="TableSideHeading"/>
              <w:keepLines w:val="0"/>
              <w:rPr>
                <w:rFonts w:eastAsia="Times New Roman"/>
                <w:sz w:val="26"/>
                <w:rtl/>
                <w:lang w:eastAsia="en-US"/>
              </w:rPr>
            </w:pPr>
            <w:r w:rsidRPr="002E56F6">
              <w:rPr>
                <w:rFonts w:eastAsia="Times New Roman"/>
                <w:sz w:val="26"/>
                <w:rtl/>
                <w:lang w:eastAsia="en-US"/>
              </w:rPr>
              <w:t>דוחות הביקורת</w:t>
            </w:r>
          </w:p>
        </w:tc>
        <w:tc>
          <w:tcPr>
            <w:tcW w:w="624" w:type="dxa"/>
          </w:tcPr>
          <w:p w14:paraId="0561A424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  <w:r w:rsidRPr="002E56F6">
              <w:rPr>
                <w:rFonts w:hint="cs"/>
                <w:sz w:val="26"/>
                <w:rtl/>
              </w:rPr>
              <w:t>7.</w:t>
            </w:r>
          </w:p>
        </w:tc>
        <w:tc>
          <w:tcPr>
            <w:tcW w:w="7144" w:type="dxa"/>
            <w:gridSpan w:val="2"/>
          </w:tcPr>
          <w:p w14:paraId="0DE2AB0F" w14:textId="06AB17FE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rFonts w:hint="cs"/>
                <w:sz w:val="26"/>
                <w:rtl/>
              </w:rPr>
              <w:t xml:space="preserve">(א) </w:t>
            </w:r>
            <w:r w:rsidRPr="002E56F6">
              <w:rPr>
                <w:sz w:val="26"/>
                <w:rtl/>
              </w:rPr>
              <w:tab/>
              <w:t xml:space="preserve">הנציב יסכם בכתב את הביקורות המערכתיות בדוחות </w:t>
            </w:r>
            <w:r w:rsidRPr="002E56F6">
              <w:rPr>
                <w:rFonts w:hint="cs"/>
                <w:sz w:val="26"/>
                <w:rtl/>
              </w:rPr>
              <w:t>ש</w:t>
            </w:r>
            <w:r w:rsidRPr="002E56F6">
              <w:rPr>
                <w:sz w:val="26"/>
                <w:rtl/>
              </w:rPr>
              <w:t xml:space="preserve">בהם יפרט </w:t>
            </w:r>
            <w:r w:rsidR="00F05ADF" w:rsidRPr="002E56F6">
              <w:rPr>
                <w:sz w:val="26"/>
                <w:rtl/>
              </w:rPr>
              <w:br/>
            </w:r>
            <w:r w:rsidRPr="002E56F6">
              <w:rPr>
                <w:sz w:val="26"/>
                <w:rtl/>
              </w:rPr>
              <w:t>את</w:t>
            </w:r>
            <w:r w:rsidR="002E56F6">
              <w:rPr>
                <w:rFonts w:hint="cs"/>
                <w:sz w:val="26"/>
                <w:rtl/>
              </w:rPr>
              <w:t xml:space="preserve"> </w:t>
            </w:r>
            <w:r w:rsidRPr="002E56F6">
              <w:rPr>
                <w:sz w:val="26"/>
                <w:rtl/>
              </w:rPr>
              <w:t>–</w:t>
            </w:r>
            <w:r w:rsidRPr="002E56F6">
              <w:rPr>
                <w:rFonts w:hint="cs"/>
                <w:sz w:val="26"/>
                <w:rtl/>
              </w:rPr>
              <w:t xml:space="preserve"> </w:t>
            </w:r>
          </w:p>
        </w:tc>
      </w:tr>
      <w:tr w:rsidR="006243D6" w:rsidRPr="002E56F6" w14:paraId="63503F06" w14:textId="77777777" w:rsidTr="006B7E67">
        <w:trPr>
          <w:cantSplit/>
        </w:trPr>
        <w:tc>
          <w:tcPr>
            <w:tcW w:w="1870" w:type="dxa"/>
          </w:tcPr>
          <w:p w14:paraId="7CA4988D" w14:textId="77777777" w:rsidR="006243D6" w:rsidRPr="002E56F6" w:rsidRDefault="006243D6" w:rsidP="006B7E67">
            <w:pPr>
              <w:pStyle w:val="TableSideHeading"/>
              <w:rPr>
                <w:sz w:val="26"/>
              </w:rPr>
            </w:pPr>
          </w:p>
        </w:tc>
        <w:tc>
          <w:tcPr>
            <w:tcW w:w="624" w:type="dxa"/>
          </w:tcPr>
          <w:p w14:paraId="517D4651" w14:textId="77777777" w:rsidR="006243D6" w:rsidRPr="002E56F6" w:rsidRDefault="006243D6" w:rsidP="006B7E67">
            <w:pPr>
              <w:pStyle w:val="TableText"/>
              <w:rPr>
                <w:sz w:val="26"/>
              </w:rPr>
            </w:pPr>
          </w:p>
        </w:tc>
        <w:tc>
          <w:tcPr>
            <w:tcW w:w="624" w:type="dxa"/>
          </w:tcPr>
          <w:p w14:paraId="4DFF7D3F" w14:textId="77777777" w:rsidR="006243D6" w:rsidRPr="002E56F6" w:rsidRDefault="006243D6" w:rsidP="006B7E67">
            <w:pPr>
              <w:pStyle w:val="TableText"/>
              <w:jc w:val="both"/>
              <w:rPr>
                <w:sz w:val="26"/>
              </w:rPr>
            </w:pPr>
          </w:p>
        </w:tc>
        <w:tc>
          <w:tcPr>
            <w:tcW w:w="6520" w:type="dxa"/>
          </w:tcPr>
          <w:p w14:paraId="5D74C256" w14:textId="77777777" w:rsidR="006243D6" w:rsidRPr="002E56F6" w:rsidRDefault="006243D6" w:rsidP="006B7E67">
            <w:pPr>
              <w:pStyle w:val="TableBlock"/>
              <w:rPr>
                <w:sz w:val="26"/>
              </w:rPr>
            </w:pPr>
            <w:r w:rsidRPr="002E56F6">
              <w:rPr>
                <w:rFonts w:hint="cs"/>
                <w:sz w:val="26"/>
                <w:rtl/>
              </w:rPr>
              <w:t>(1</w:t>
            </w:r>
            <w:r w:rsidRPr="002E56F6">
              <w:rPr>
                <w:sz w:val="26"/>
                <w:rtl/>
              </w:rPr>
              <w:t>)</w:t>
            </w:r>
            <w:r w:rsidRPr="002E56F6">
              <w:rPr>
                <w:sz w:val="26"/>
                <w:rtl/>
              </w:rPr>
              <w:tab/>
              <w:t>ממצאי הביקורת</w:t>
            </w:r>
            <w:r w:rsidRPr="002E56F6">
              <w:rPr>
                <w:rFonts w:hint="cs"/>
                <w:sz w:val="26"/>
                <w:rtl/>
              </w:rPr>
              <w:t>;</w:t>
            </w:r>
          </w:p>
        </w:tc>
      </w:tr>
      <w:tr w:rsidR="006243D6" w:rsidRPr="002E56F6" w14:paraId="76B01387" w14:textId="77777777" w:rsidTr="006B7E67">
        <w:trPr>
          <w:cantSplit/>
        </w:trPr>
        <w:tc>
          <w:tcPr>
            <w:tcW w:w="1870" w:type="dxa"/>
          </w:tcPr>
          <w:p w14:paraId="188EA498" w14:textId="77777777" w:rsidR="006243D6" w:rsidRPr="002E56F6" w:rsidRDefault="006243D6" w:rsidP="006B7E67">
            <w:pPr>
              <w:pStyle w:val="TableSideHeading"/>
              <w:rPr>
                <w:sz w:val="26"/>
              </w:rPr>
            </w:pPr>
          </w:p>
        </w:tc>
        <w:tc>
          <w:tcPr>
            <w:tcW w:w="624" w:type="dxa"/>
          </w:tcPr>
          <w:p w14:paraId="334D25C6" w14:textId="77777777" w:rsidR="006243D6" w:rsidRPr="002E56F6" w:rsidRDefault="006243D6" w:rsidP="006B7E67">
            <w:pPr>
              <w:pStyle w:val="TableText"/>
              <w:rPr>
                <w:sz w:val="26"/>
              </w:rPr>
            </w:pPr>
          </w:p>
        </w:tc>
        <w:tc>
          <w:tcPr>
            <w:tcW w:w="624" w:type="dxa"/>
          </w:tcPr>
          <w:p w14:paraId="31AEEC81" w14:textId="77777777" w:rsidR="006243D6" w:rsidRPr="002E56F6" w:rsidRDefault="006243D6" w:rsidP="006B7E67">
            <w:pPr>
              <w:pStyle w:val="TableText"/>
              <w:jc w:val="both"/>
              <w:rPr>
                <w:sz w:val="26"/>
              </w:rPr>
            </w:pPr>
          </w:p>
        </w:tc>
        <w:tc>
          <w:tcPr>
            <w:tcW w:w="6520" w:type="dxa"/>
          </w:tcPr>
          <w:p w14:paraId="1EB3E6F5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rFonts w:hint="cs"/>
                <w:sz w:val="26"/>
                <w:rtl/>
              </w:rPr>
              <w:t>(2)</w:t>
            </w:r>
            <w:r w:rsidRPr="002E56F6">
              <w:rPr>
                <w:sz w:val="26"/>
                <w:rtl/>
              </w:rPr>
              <w:tab/>
            </w:r>
            <w:r w:rsidRPr="002E56F6">
              <w:rPr>
                <w:rFonts w:hint="cs"/>
                <w:sz w:val="26"/>
                <w:rtl/>
              </w:rPr>
              <w:t>המלצות לתיקון הליקויים;</w:t>
            </w:r>
          </w:p>
        </w:tc>
      </w:tr>
      <w:tr w:rsidR="006243D6" w:rsidRPr="002E56F6" w14:paraId="32D9FC4E" w14:textId="77777777" w:rsidTr="006B7E67">
        <w:trPr>
          <w:cantSplit/>
        </w:trPr>
        <w:tc>
          <w:tcPr>
            <w:tcW w:w="1870" w:type="dxa"/>
          </w:tcPr>
          <w:p w14:paraId="5BEA09AB" w14:textId="77777777" w:rsidR="006243D6" w:rsidRPr="002E56F6" w:rsidRDefault="006243D6" w:rsidP="006B7E67">
            <w:pPr>
              <w:pStyle w:val="TableSideHeading"/>
              <w:rPr>
                <w:sz w:val="26"/>
              </w:rPr>
            </w:pPr>
          </w:p>
        </w:tc>
        <w:tc>
          <w:tcPr>
            <w:tcW w:w="624" w:type="dxa"/>
          </w:tcPr>
          <w:p w14:paraId="3C81C70E" w14:textId="77777777" w:rsidR="006243D6" w:rsidRPr="002E56F6" w:rsidRDefault="006243D6" w:rsidP="006B7E67">
            <w:pPr>
              <w:pStyle w:val="TableText"/>
              <w:rPr>
                <w:sz w:val="26"/>
              </w:rPr>
            </w:pPr>
          </w:p>
        </w:tc>
        <w:tc>
          <w:tcPr>
            <w:tcW w:w="624" w:type="dxa"/>
          </w:tcPr>
          <w:p w14:paraId="59BE2712" w14:textId="77777777" w:rsidR="006243D6" w:rsidRPr="002E56F6" w:rsidRDefault="006243D6" w:rsidP="006B7E67">
            <w:pPr>
              <w:pStyle w:val="TableText"/>
              <w:jc w:val="both"/>
              <w:rPr>
                <w:sz w:val="26"/>
              </w:rPr>
            </w:pPr>
          </w:p>
        </w:tc>
        <w:tc>
          <w:tcPr>
            <w:tcW w:w="6520" w:type="dxa"/>
          </w:tcPr>
          <w:p w14:paraId="6EEDC636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rFonts w:hint="cs"/>
                <w:sz w:val="26"/>
                <w:rtl/>
              </w:rPr>
              <w:t>(3)</w:t>
            </w:r>
            <w:r w:rsidRPr="002E56F6">
              <w:rPr>
                <w:sz w:val="26"/>
                <w:rtl/>
              </w:rPr>
              <w:tab/>
              <w:t>נקודות לשיפור או פעולות בולטות לטובה</w:t>
            </w:r>
            <w:r w:rsidRPr="002E56F6">
              <w:rPr>
                <w:rFonts w:hint="cs"/>
                <w:sz w:val="26"/>
                <w:rtl/>
              </w:rPr>
              <w:t>;</w:t>
            </w:r>
          </w:p>
        </w:tc>
      </w:tr>
      <w:tr w:rsidR="006243D6" w:rsidRPr="002E56F6" w14:paraId="460A12F4" w14:textId="77777777" w:rsidTr="006B7E67">
        <w:trPr>
          <w:cantSplit/>
        </w:trPr>
        <w:tc>
          <w:tcPr>
            <w:tcW w:w="1870" w:type="dxa"/>
          </w:tcPr>
          <w:p w14:paraId="6FB10B62" w14:textId="77777777" w:rsidR="006243D6" w:rsidRPr="002E56F6" w:rsidRDefault="006243D6" w:rsidP="006B7E67">
            <w:pPr>
              <w:pStyle w:val="TableSideHeading"/>
              <w:rPr>
                <w:sz w:val="26"/>
              </w:rPr>
            </w:pPr>
          </w:p>
        </w:tc>
        <w:tc>
          <w:tcPr>
            <w:tcW w:w="624" w:type="dxa"/>
          </w:tcPr>
          <w:p w14:paraId="760EA0A4" w14:textId="77777777" w:rsidR="006243D6" w:rsidRPr="002E56F6" w:rsidRDefault="006243D6" w:rsidP="006B7E67">
            <w:pPr>
              <w:pStyle w:val="TableText"/>
              <w:rPr>
                <w:sz w:val="26"/>
              </w:rPr>
            </w:pPr>
          </w:p>
        </w:tc>
        <w:tc>
          <w:tcPr>
            <w:tcW w:w="624" w:type="dxa"/>
          </w:tcPr>
          <w:p w14:paraId="2A359F1A" w14:textId="77777777" w:rsidR="006243D6" w:rsidRPr="002E56F6" w:rsidRDefault="006243D6" w:rsidP="006B7E67">
            <w:pPr>
              <w:pStyle w:val="TableText"/>
              <w:jc w:val="both"/>
              <w:rPr>
                <w:sz w:val="26"/>
              </w:rPr>
            </w:pPr>
          </w:p>
        </w:tc>
        <w:tc>
          <w:tcPr>
            <w:tcW w:w="6520" w:type="dxa"/>
          </w:tcPr>
          <w:p w14:paraId="66257518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rFonts w:hint="cs"/>
                <w:sz w:val="26"/>
                <w:rtl/>
              </w:rPr>
              <w:t>(4)</w:t>
            </w:r>
            <w:r w:rsidRPr="002E56F6">
              <w:rPr>
                <w:sz w:val="26"/>
                <w:rtl/>
              </w:rPr>
              <w:tab/>
              <w:t>כל עניין אחר שמצא הנציב לנכון.</w:t>
            </w:r>
          </w:p>
        </w:tc>
      </w:tr>
      <w:tr w:rsidR="006243D6" w:rsidRPr="002E56F6" w14:paraId="4A132F0E" w14:textId="77777777" w:rsidTr="006B7E67">
        <w:trPr>
          <w:cantSplit/>
        </w:trPr>
        <w:tc>
          <w:tcPr>
            <w:tcW w:w="1870" w:type="dxa"/>
          </w:tcPr>
          <w:p w14:paraId="0B85F070" w14:textId="77777777" w:rsidR="006243D6" w:rsidRPr="002E56F6" w:rsidRDefault="006243D6" w:rsidP="006B7E67">
            <w:pPr>
              <w:pStyle w:val="TableSideHeading"/>
              <w:keepLines w:val="0"/>
              <w:rPr>
                <w:rFonts w:eastAsia="Times New Roman"/>
                <w:sz w:val="26"/>
                <w:rtl/>
                <w:lang w:eastAsia="en-US"/>
              </w:rPr>
            </w:pPr>
          </w:p>
        </w:tc>
        <w:tc>
          <w:tcPr>
            <w:tcW w:w="624" w:type="dxa"/>
          </w:tcPr>
          <w:p w14:paraId="2C65AB57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2"/>
          </w:tcPr>
          <w:p w14:paraId="536AFA5A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(ב)</w:t>
            </w:r>
            <w:r w:rsidRPr="002E56F6">
              <w:rPr>
                <w:sz w:val="26"/>
                <w:rtl/>
              </w:rPr>
              <w:tab/>
              <w:t>במקרים פרטניים רשאי הנציב להמליץ על הליכים נוספים</w:t>
            </w:r>
            <w:r w:rsidRPr="002E56F6">
              <w:rPr>
                <w:rFonts w:hint="cs"/>
                <w:sz w:val="26"/>
                <w:rtl/>
              </w:rPr>
              <w:t xml:space="preserve"> </w:t>
            </w:r>
            <w:r w:rsidRPr="002E56F6">
              <w:rPr>
                <w:sz w:val="26"/>
                <w:rtl/>
              </w:rPr>
              <w:t>במסגרת מנגנוני החקירה והמשמעת ה</w:t>
            </w:r>
            <w:r w:rsidRPr="002E56F6">
              <w:rPr>
                <w:rFonts w:hint="cs"/>
                <w:sz w:val="26"/>
                <w:rtl/>
              </w:rPr>
              <w:t>קבועים</w:t>
            </w:r>
            <w:r w:rsidRPr="002E56F6">
              <w:rPr>
                <w:sz w:val="26"/>
                <w:rtl/>
              </w:rPr>
              <w:t xml:space="preserve"> </w:t>
            </w:r>
            <w:r w:rsidRPr="002E56F6">
              <w:rPr>
                <w:rFonts w:hint="cs"/>
                <w:sz w:val="26"/>
                <w:rtl/>
              </w:rPr>
              <w:t>ב</w:t>
            </w:r>
            <w:r w:rsidRPr="002E56F6">
              <w:rPr>
                <w:sz w:val="26"/>
                <w:rtl/>
              </w:rPr>
              <w:t>דין.</w:t>
            </w:r>
          </w:p>
        </w:tc>
      </w:tr>
      <w:tr w:rsidR="006243D6" w:rsidRPr="002E56F6" w14:paraId="3D90B6A6" w14:textId="77777777" w:rsidTr="006B7E67">
        <w:trPr>
          <w:cantSplit/>
        </w:trPr>
        <w:tc>
          <w:tcPr>
            <w:tcW w:w="1870" w:type="dxa"/>
          </w:tcPr>
          <w:p w14:paraId="5D00F630" w14:textId="77777777" w:rsidR="006243D6" w:rsidRPr="002E56F6" w:rsidRDefault="006243D6" w:rsidP="006B7E67">
            <w:pPr>
              <w:pStyle w:val="TableSideHeading"/>
              <w:keepLines w:val="0"/>
              <w:rPr>
                <w:rFonts w:eastAsia="Times New Roman"/>
                <w:sz w:val="26"/>
                <w:rtl/>
                <w:lang w:eastAsia="en-US"/>
              </w:rPr>
            </w:pPr>
            <w:r w:rsidRPr="002E56F6">
              <w:rPr>
                <w:rFonts w:eastAsia="Times New Roman"/>
                <w:sz w:val="26"/>
                <w:rtl/>
                <w:lang w:eastAsia="en-US"/>
              </w:rPr>
              <w:tab/>
            </w:r>
          </w:p>
        </w:tc>
        <w:tc>
          <w:tcPr>
            <w:tcW w:w="624" w:type="dxa"/>
          </w:tcPr>
          <w:p w14:paraId="08F181EE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2"/>
          </w:tcPr>
          <w:p w14:paraId="34124FEB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rFonts w:hint="cs"/>
                <w:sz w:val="26"/>
                <w:rtl/>
              </w:rPr>
              <w:t>(ג)</w:t>
            </w:r>
            <w:r w:rsidRPr="002E56F6">
              <w:rPr>
                <w:sz w:val="26"/>
                <w:rtl/>
              </w:rPr>
              <w:tab/>
              <w:t>הדוחות יובאו בפני השר והיועץ המשפטי לממשלה, אלא אם כן מצא</w:t>
            </w:r>
            <w:r w:rsidRPr="002E56F6">
              <w:rPr>
                <w:rFonts w:hint="cs"/>
                <w:sz w:val="26"/>
                <w:rtl/>
              </w:rPr>
              <w:t xml:space="preserve"> </w:t>
            </w:r>
            <w:r w:rsidRPr="002E56F6">
              <w:rPr>
                <w:sz w:val="26"/>
                <w:rtl/>
              </w:rPr>
              <w:t>הנציב שקיימת מניעה לעשות כן בנושאים ספציפיים.</w:t>
            </w:r>
          </w:p>
        </w:tc>
      </w:tr>
      <w:tr w:rsidR="006243D6" w:rsidRPr="002E56F6" w14:paraId="247DF2FF" w14:textId="77777777" w:rsidTr="006B7E67">
        <w:trPr>
          <w:cantSplit/>
        </w:trPr>
        <w:tc>
          <w:tcPr>
            <w:tcW w:w="1870" w:type="dxa"/>
          </w:tcPr>
          <w:p w14:paraId="73BBD4B2" w14:textId="77777777" w:rsidR="006243D6" w:rsidRPr="002E56F6" w:rsidRDefault="006243D6" w:rsidP="006B7E67">
            <w:pPr>
              <w:pStyle w:val="TableSideHeading"/>
              <w:keepLines w:val="0"/>
              <w:rPr>
                <w:rFonts w:eastAsia="Times New Roman"/>
                <w:sz w:val="26"/>
                <w:rtl/>
                <w:lang w:eastAsia="en-US"/>
              </w:rPr>
            </w:pPr>
          </w:p>
        </w:tc>
        <w:tc>
          <w:tcPr>
            <w:tcW w:w="624" w:type="dxa"/>
          </w:tcPr>
          <w:p w14:paraId="07DB9B11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2"/>
          </w:tcPr>
          <w:p w14:paraId="0ED88BF5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(ד)</w:t>
            </w:r>
            <w:r w:rsidRPr="002E56F6">
              <w:rPr>
                <w:sz w:val="26"/>
                <w:rtl/>
              </w:rPr>
              <w:tab/>
              <w:t>בדוחות הביקורת המערכתית לא יפורסמו שמות או פרטים שיש</w:t>
            </w:r>
            <w:r w:rsidRPr="002E56F6">
              <w:rPr>
                <w:rFonts w:hint="cs"/>
                <w:sz w:val="26"/>
                <w:rtl/>
              </w:rPr>
              <w:t xml:space="preserve"> </w:t>
            </w:r>
            <w:r w:rsidRPr="002E56F6">
              <w:rPr>
                <w:sz w:val="26"/>
                <w:rtl/>
              </w:rPr>
              <w:t>בהם כדי לזהות את עובדי הגופים המבוקרים.</w:t>
            </w:r>
            <w:r w:rsidRPr="002E56F6">
              <w:rPr>
                <w:sz w:val="26"/>
                <w:rtl/>
              </w:rPr>
              <w:tab/>
            </w:r>
          </w:p>
        </w:tc>
      </w:tr>
      <w:tr w:rsidR="006243D6" w:rsidRPr="002E56F6" w14:paraId="52BB40FA" w14:textId="77777777" w:rsidTr="006B7E67">
        <w:trPr>
          <w:cantSplit/>
        </w:trPr>
        <w:tc>
          <w:tcPr>
            <w:tcW w:w="1870" w:type="dxa"/>
          </w:tcPr>
          <w:p w14:paraId="0EDFF4EF" w14:textId="77777777" w:rsidR="006243D6" w:rsidRPr="002E56F6" w:rsidRDefault="006243D6" w:rsidP="006B7E67">
            <w:pPr>
              <w:pStyle w:val="TableSideHeading"/>
              <w:keepLines w:val="0"/>
              <w:rPr>
                <w:rFonts w:eastAsia="Times New Roman"/>
                <w:sz w:val="26"/>
                <w:rtl/>
                <w:lang w:eastAsia="en-US"/>
              </w:rPr>
            </w:pPr>
          </w:p>
        </w:tc>
        <w:tc>
          <w:tcPr>
            <w:tcW w:w="624" w:type="dxa"/>
          </w:tcPr>
          <w:p w14:paraId="40C43590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2"/>
          </w:tcPr>
          <w:p w14:paraId="4247ACC1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(ה)</w:t>
            </w:r>
            <w:r w:rsidRPr="002E56F6">
              <w:rPr>
                <w:sz w:val="26"/>
                <w:rtl/>
              </w:rPr>
              <w:tab/>
              <w:t>עובדי הגופים המבוקרים, יהיו רשאים להיות מיוצגים בפני הנציב</w:t>
            </w:r>
            <w:r w:rsidRPr="002E56F6">
              <w:rPr>
                <w:rFonts w:hint="cs"/>
                <w:sz w:val="26"/>
                <w:rtl/>
              </w:rPr>
              <w:t xml:space="preserve"> </w:t>
            </w:r>
            <w:r w:rsidRPr="002E56F6">
              <w:rPr>
                <w:sz w:val="26"/>
                <w:rtl/>
              </w:rPr>
              <w:t>באופן שיקבע בתקנות.</w:t>
            </w:r>
          </w:p>
        </w:tc>
      </w:tr>
      <w:tr w:rsidR="006243D6" w:rsidRPr="002E56F6" w14:paraId="4513631B" w14:textId="77777777" w:rsidTr="006B7E67">
        <w:trPr>
          <w:cantSplit/>
        </w:trPr>
        <w:tc>
          <w:tcPr>
            <w:tcW w:w="1870" w:type="dxa"/>
          </w:tcPr>
          <w:p w14:paraId="74B8A0FE" w14:textId="77777777" w:rsidR="006243D6" w:rsidRPr="002E56F6" w:rsidRDefault="006243D6" w:rsidP="006B7E67">
            <w:pPr>
              <w:pStyle w:val="TableSideHeading"/>
              <w:keepLines w:val="0"/>
              <w:rPr>
                <w:rFonts w:eastAsia="Times New Roman"/>
                <w:sz w:val="26"/>
                <w:rtl/>
                <w:lang w:eastAsia="en-US"/>
              </w:rPr>
            </w:pPr>
            <w:r w:rsidRPr="002E56F6">
              <w:rPr>
                <w:rFonts w:eastAsia="Times New Roman"/>
                <w:sz w:val="26"/>
                <w:rtl/>
                <w:lang w:eastAsia="en-US"/>
              </w:rPr>
              <w:t>כשירות הנציב ומינויו</w:t>
            </w:r>
          </w:p>
        </w:tc>
        <w:tc>
          <w:tcPr>
            <w:tcW w:w="624" w:type="dxa"/>
          </w:tcPr>
          <w:p w14:paraId="6A0518DF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  <w:r w:rsidRPr="002E56F6">
              <w:rPr>
                <w:rFonts w:hint="cs"/>
                <w:sz w:val="26"/>
                <w:rtl/>
              </w:rPr>
              <w:t>8.</w:t>
            </w:r>
          </w:p>
        </w:tc>
        <w:tc>
          <w:tcPr>
            <w:tcW w:w="7144" w:type="dxa"/>
            <w:gridSpan w:val="2"/>
          </w:tcPr>
          <w:p w14:paraId="609812BA" w14:textId="025CA07D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(א)</w:t>
            </w:r>
            <w:r w:rsidRPr="002E56F6">
              <w:rPr>
                <w:sz w:val="26"/>
                <w:rtl/>
              </w:rPr>
              <w:tab/>
              <w:t>הנציב יתמנה על ידי ממשל</w:t>
            </w:r>
            <w:r w:rsidRPr="002E56F6">
              <w:rPr>
                <w:rFonts w:hint="cs"/>
                <w:sz w:val="26"/>
                <w:rtl/>
              </w:rPr>
              <w:t>ת</w:t>
            </w:r>
            <w:r w:rsidRPr="002E56F6">
              <w:rPr>
                <w:sz w:val="26"/>
                <w:rtl/>
              </w:rPr>
              <w:t xml:space="preserve"> ישראל לפי המלצת שר המשפטים,</w:t>
            </w:r>
            <w:r w:rsidRPr="002E56F6">
              <w:rPr>
                <w:rFonts w:hint="cs"/>
                <w:sz w:val="26"/>
                <w:rtl/>
              </w:rPr>
              <w:t xml:space="preserve"> </w:t>
            </w:r>
            <w:r w:rsidRPr="002E56F6">
              <w:rPr>
                <w:sz w:val="26"/>
                <w:rtl/>
              </w:rPr>
              <w:t>מבין המועמדים שעליהם המליצה הוועדה הציבורית שמונתה על ידי</w:t>
            </w:r>
            <w:r w:rsidRPr="002E56F6">
              <w:rPr>
                <w:rFonts w:hint="cs"/>
                <w:sz w:val="26"/>
                <w:rtl/>
              </w:rPr>
              <w:t xml:space="preserve"> </w:t>
            </w:r>
            <w:r w:rsidRPr="002E56F6">
              <w:rPr>
                <w:sz w:val="26"/>
                <w:rtl/>
              </w:rPr>
              <w:t>שר המשפטים לפי הוראות חוק זה.</w:t>
            </w:r>
          </w:p>
        </w:tc>
      </w:tr>
      <w:tr w:rsidR="006243D6" w:rsidRPr="002E56F6" w14:paraId="32917382" w14:textId="77777777" w:rsidTr="006B7E67">
        <w:trPr>
          <w:cantSplit/>
        </w:trPr>
        <w:tc>
          <w:tcPr>
            <w:tcW w:w="1870" w:type="dxa"/>
          </w:tcPr>
          <w:p w14:paraId="13CDCE1D" w14:textId="77777777" w:rsidR="006243D6" w:rsidRPr="002E56F6" w:rsidRDefault="006243D6" w:rsidP="006B7E67">
            <w:pPr>
              <w:pStyle w:val="TableSideHeading"/>
              <w:keepLines w:val="0"/>
              <w:rPr>
                <w:rFonts w:eastAsia="Times New Roman"/>
                <w:sz w:val="26"/>
                <w:rtl/>
                <w:lang w:eastAsia="en-US"/>
              </w:rPr>
            </w:pPr>
          </w:p>
        </w:tc>
        <w:tc>
          <w:tcPr>
            <w:tcW w:w="624" w:type="dxa"/>
          </w:tcPr>
          <w:p w14:paraId="5968F711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2"/>
          </w:tcPr>
          <w:p w14:paraId="2ADB1A6C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(ב)</w:t>
            </w:r>
            <w:r w:rsidRPr="002E56F6">
              <w:rPr>
                <w:sz w:val="26"/>
                <w:rtl/>
              </w:rPr>
              <w:tab/>
              <w:t xml:space="preserve">כשיר להתמנות לנציב מי שמתקיימים בו כל אלה: </w:t>
            </w:r>
          </w:p>
        </w:tc>
      </w:tr>
      <w:tr w:rsidR="006243D6" w:rsidRPr="002E56F6" w14:paraId="6DFE740B" w14:textId="77777777" w:rsidTr="006B7E67">
        <w:trPr>
          <w:cantSplit/>
        </w:trPr>
        <w:tc>
          <w:tcPr>
            <w:tcW w:w="1870" w:type="dxa"/>
          </w:tcPr>
          <w:p w14:paraId="110906A4" w14:textId="77777777" w:rsidR="006243D6" w:rsidRPr="002E56F6" w:rsidRDefault="006243D6" w:rsidP="006B7E67">
            <w:pPr>
              <w:pStyle w:val="TableSideHeading"/>
              <w:rPr>
                <w:sz w:val="26"/>
              </w:rPr>
            </w:pPr>
          </w:p>
        </w:tc>
        <w:tc>
          <w:tcPr>
            <w:tcW w:w="624" w:type="dxa"/>
          </w:tcPr>
          <w:p w14:paraId="22506ED6" w14:textId="77777777" w:rsidR="006243D6" w:rsidRPr="002E56F6" w:rsidRDefault="006243D6" w:rsidP="006B7E67">
            <w:pPr>
              <w:pStyle w:val="TableText"/>
              <w:rPr>
                <w:sz w:val="26"/>
              </w:rPr>
            </w:pPr>
          </w:p>
        </w:tc>
        <w:tc>
          <w:tcPr>
            <w:tcW w:w="624" w:type="dxa"/>
          </w:tcPr>
          <w:p w14:paraId="02B8D67F" w14:textId="77777777" w:rsidR="006243D6" w:rsidRPr="002E56F6" w:rsidRDefault="006243D6" w:rsidP="006B7E67">
            <w:pPr>
              <w:pStyle w:val="TableText"/>
              <w:jc w:val="both"/>
              <w:rPr>
                <w:sz w:val="26"/>
              </w:rPr>
            </w:pPr>
          </w:p>
        </w:tc>
        <w:tc>
          <w:tcPr>
            <w:tcW w:w="6520" w:type="dxa"/>
          </w:tcPr>
          <w:p w14:paraId="080975F2" w14:textId="77777777" w:rsidR="006243D6" w:rsidRPr="002E56F6" w:rsidRDefault="006243D6" w:rsidP="002E56F6">
            <w:pPr>
              <w:pStyle w:val="TableBlock"/>
            </w:pPr>
            <w:r w:rsidRPr="002E56F6">
              <w:rPr>
                <w:rFonts w:hint="cs"/>
                <w:rtl/>
              </w:rPr>
              <w:t>(1)</w:t>
            </w:r>
            <w:r w:rsidRPr="002E56F6">
              <w:rPr>
                <w:rtl/>
              </w:rPr>
              <w:tab/>
            </w:r>
            <w:r w:rsidRPr="002E56F6">
              <w:rPr>
                <w:rFonts w:hint="cs"/>
                <w:rtl/>
              </w:rPr>
              <w:t>כשיר</w:t>
            </w:r>
            <w:r w:rsidRPr="002E56F6">
              <w:rPr>
                <w:rtl/>
              </w:rPr>
              <w:t xml:space="preserve"> להתמנות לשופט בבית המשפט העליון כמשמעו בסעיף 2 לחוק בתי המשפט</w:t>
            </w:r>
            <w:r w:rsidRPr="002E56F6">
              <w:rPr>
                <w:rFonts w:hint="cs"/>
                <w:rtl/>
              </w:rPr>
              <w:t>;</w:t>
            </w:r>
          </w:p>
        </w:tc>
      </w:tr>
      <w:tr w:rsidR="006243D6" w:rsidRPr="002E56F6" w14:paraId="07458E80" w14:textId="77777777" w:rsidTr="006B7E67">
        <w:trPr>
          <w:cantSplit/>
        </w:trPr>
        <w:tc>
          <w:tcPr>
            <w:tcW w:w="1870" w:type="dxa"/>
          </w:tcPr>
          <w:p w14:paraId="55B6C47E" w14:textId="77777777" w:rsidR="006243D6" w:rsidRPr="002E56F6" w:rsidRDefault="006243D6" w:rsidP="006B7E67">
            <w:pPr>
              <w:pStyle w:val="TableSideHeading"/>
              <w:rPr>
                <w:sz w:val="26"/>
              </w:rPr>
            </w:pPr>
          </w:p>
        </w:tc>
        <w:tc>
          <w:tcPr>
            <w:tcW w:w="624" w:type="dxa"/>
          </w:tcPr>
          <w:p w14:paraId="5F9D0617" w14:textId="77777777" w:rsidR="006243D6" w:rsidRPr="002E56F6" w:rsidRDefault="006243D6" w:rsidP="006B7E67">
            <w:pPr>
              <w:pStyle w:val="TableText"/>
              <w:rPr>
                <w:sz w:val="26"/>
              </w:rPr>
            </w:pPr>
          </w:p>
        </w:tc>
        <w:tc>
          <w:tcPr>
            <w:tcW w:w="624" w:type="dxa"/>
          </w:tcPr>
          <w:p w14:paraId="25FF84E9" w14:textId="77777777" w:rsidR="006243D6" w:rsidRPr="002E56F6" w:rsidRDefault="006243D6" w:rsidP="006B7E67">
            <w:pPr>
              <w:pStyle w:val="TableText"/>
              <w:jc w:val="both"/>
              <w:rPr>
                <w:sz w:val="26"/>
              </w:rPr>
            </w:pPr>
          </w:p>
        </w:tc>
        <w:tc>
          <w:tcPr>
            <w:tcW w:w="6520" w:type="dxa"/>
          </w:tcPr>
          <w:p w14:paraId="569AAF57" w14:textId="77777777" w:rsidR="006243D6" w:rsidRPr="002E56F6" w:rsidRDefault="006243D6" w:rsidP="002E56F6">
            <w:pPr>
              <w:pStyle w:val="TableBlock"/>
              <w:rPr>
                <w:rtl/>
              </w:rPr>
            </w:pPr>
            <w:r w:rsidRPr="002E56F6">
              <w:rPr>
                <w:rtl/>
              </w:rPr>
              <w:t>(</w:t>
            </w:r>
            <w:r w:rsidRPr="002E56F6">
              <w:rPr>
                <w:rFonts w:hint="cs"/>
                <w:rtl/>
              </w:rPr>
              <w:t>2</w:t>
            </w:r>
            <w:r w:rsidRPr="002E56F6">
              <w:rPr>
                <w:rtl/>
              </w:rPr>
              <w:t>)</w:t>
            </w:r>
            <w:r w:rsidRPr="002E56F6">
              <w:rPr>
                <w:rtl/>
              </w:rPr>
              <w:tab/>
              <w:t>בעל הכרות משמעותית עם הגורמים המבוקרים</w:t>
            </w:r>
            <w:r w:rsidRPr="002E56F6">
              <w:rPr>
                <w:rFonts w:hint="cs"/>
                <w:rtl/>
              </w:rPr>
              <w:t>;</w:t>
            </w:r>
          </w:p>
        </w:tc>
      </w:tr>
      <w:tr w:rsidR="006243D6" w:rsidRPr="002E56F6" w14:paraId="575C3983" w14:textId="77777777" w:rsidTr="006B7E67">
        <w:trPr>
          <w:cantSplit/>
        </w:trPr>
        <w:tc>
          <w:tcPr>
            <w:tcW w:w="1870" w:type="dxa"/>
          </w:tcPr>
          <w:p w14:paraId="12787B93" w14:textId="77777777" w:rsidR="006243D6" w:rsidRPr="002E56F6" w:rsidRDefault="006243D6" w:rsidP="006B7E67">
            <w:pPr>
              <w:pStyle w:val="TableSideHeading"/>
              <w:rPr>
                <w:sz w:val="26"/>
              </w:rPr>
            </w:pPr>
          </w:p>
        </w:tc>
        <w:tc>
          <w:tcPr>
            <w:tcW w:w="624" w:type="dxa"/>
          </w:tcPr>
          <w:p w14:paraId="33297D49" w14:textId="77777777" w:rsidR="006243D6" w:rsidRPr="002E56F6" w:rsidRDefault="006243D6" w:rsidP="006B7E67">
            <w:pPr>
              <w:pStyle w:val="TableText"/>
              <w:rPr>
                <w:sz w:val="26"/>
              </w:rPr>
            </w:pPr>
          </w:p>
        </w:tc>
        <w:tc>
          <w:tcPr>
            <w:tcW w:w="624" w:type="dxa"/>
          </w:tcPr>
          <w:p w14:paraId="59B82CEA" w14:textId="77777777" w:rsidR="006243D6" w:rsidRPr="002E56F6" w:rsidRDefault="006243D6" w:rsidP="006B7E67">
            <w:pPr>
              <w:pStyle w:val="TableText"/>
              <w:jc w:val="both"/>
              <w:rPr>
                <w:sz w:val="26"/>
              </w:rPr>
            </w:pPr>
          </w:p>
        </w:tc>
        <w:tc>
          <w:tcPr>
            <w:tcW w:w="6520" w:type="dxa"/>
          </w:tcPr>
          <w:p w14:paraId="099FED38" w14:textId="36857EC7" w:rsidR="006243D6" w:rsidRPr="002E56F6" w:rsidRDefault="006243D6" w:rsidP="002E56F6">
            <w:pPr>
              <w:pStyle w:val="TableBlock"/>
              <w:rPr>
                <w:rtl/>
              </w:rPr>
            </w:pPr>
            <w:r w:rsidRPr="002E56F6">
              <w:rPr>
                <w:rFonts w:hint="cs"/>
                <w:rtl/>
              </w:rPr>
              <w:t>(3)</w:t>
            </w:r>
            <w:r w:rsidRPr="002E56F6">
              <w:rPr>
                <w:rtl/>
              </w:rPr>
              <w:tab/>
              <w:t>לא הורשע בעבירה שמפאת מהותה, חומרתה או נסיבותיה אין הוא ראוי לשמש נציב</w:t>
            </w:r>
            <w:r w:rsidRPr="002E56F6">
              <w:rPr>
                <w:rFonts w:hint="cs"/>
                <w:rtl/>
              </w:rPr>
              <w:t>.</w:t>
            </w:r>
          </w:p>
        </w:tc>
      </w:tr>
      <w:tr w:rsidR="006243D6" w:rsidRPr="002E56F6" w14:paraId="3E5E3EF2" w14:textId="77777777" w:rsidTr="006B7E67">
        <w:trPr>
          <w:cantSplit/>
        </w:trPr>
        <w:tc>
          <w:tcPr>
            <w:tcW w:w="1870" w:type="dxa"/>
          </w:tcPr>
          <w:p w14:paraId="08172AF6" w14:textId="77777777" w:rsidR="006243D6" w:rsidRPr="002E56F6" w:rsidRDefault="006243D6" w:rsidP="006B7E67">
            <w:pPr>
              <w:pStyle w:val="TableSideHeading"/>
              <w:keepLines w:val="0"/>
              <w:rPr>
                <w:rFonts w:eastAsia="Times New Roman"/>
                <w:sz w:val="26"/>
                <w:rtl/>
                <w:lang w:eastAsia="en-US"/>
              </w:rPr>
            </w:pPr>
          </w:p>
        </w:tc>
        <w:tc>
          <w:tcPr>
            <w:tcW w:w="624" w:type="dxa"/>
          </w:tcPr>
          <w:p w14:paraId="7BD7E712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2"/>
          </w:tcPr>
          <w:p w14:paraId="24C89739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rFonts w:hint="cs"/>
                <w:sz w:val="26"/>
                <w:rtl/>
              </w:rPr>
              <w:t>(ג)</w:t>
            </w:r>
            <w:r w:rsidRPr="002E56F6">
              <w:rPr>
                <w:sz w:val="26"/>
                <w:rtl/>
              </w:rPr>
              <w:tab/>
              <w:t xml:space="preserve">השר רשאי לקבוע תנאים נוספים לעניין כשירות הנציב בנוסף </w:t>
            </w:r>
            <w:r w:rsidRPr="002E56F6">
              <w:rPr>
                <w:rFonts w:hint="cs"/>
                <w:sz w:val="26"/>
                <w:rtl/>
              </w:rPr>
              <w:t xml:space="preserve"> </w:t>
            </w:r>
            <w:r w:rsidRPr="002E56F6">
              <w:rPr>
                <w:sz w:val="26"/>
                <w:rtl/>
              </w:rPr>
              <w:t>לאמור בסעיף קטן (א).</w:t>
            </w:r>
          </w:p>
        </w:tc>
      </w:tr>
      <w:tr w:rsidR="006243D6" w:rsidRPr="002E56F6" w14:paraId="1950C90C" w14:textId="77777777" w:rsidTr="006B7E67">
        <w:trPr>
          <w:cantSplit/>
        </w:trPr>
        <w:tc>
          <w:tcPr>
            <w:tcW w:w="1870" w:type="dxa"/>
          </w:tcPr>
          <w:p w14:paraId="40A1B091" w14:textId="77777777" w:rsidR="006243D6" w:rsidRPr="002E56F6" w:rsidRDefault="006243D6" w:rsidP="006B7E67">
            <w:pPr>
              <w:pStyle w:val="TableSideHeading"/>
              <w:keepLines w:val="0"/>
              <w:rPr>
                <w:rFonts w:eastAsia="Times New Roman"/>
                <w:sz w:val="26"/>
                <w:rtl/>
                <w:lang w:eastAsia="en-US"/>
              </w:rPr>
            </w:pPr>
          </w:p>
        </w:tc>
        <w:tc>
          <w:tcPr>
            <w:tcW w:w="624" w:type="dxa"/>
          </w:tcPr>
          <w:p w14:paraId="15FF7EAC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2"/>
          </w:tcPr>
          <w:p w14:paraId="05AB57B7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rFonts w:hint="cs"/>
                <w:sz w:val="26"/>
                <w:rtl/>
              </w:rPr>
              <w:t>(ד)</w:t>
            </w:r>
            <w:r w:rsidRPr="002E56F6">
              <w:rPr>
                <w:sz w:val="26"/>
                <w:rtl/>
              </w:rPr>
              <w:tab/>
              <w:t>מעמדו הציבור</w:t>
            </w:r>
            <w:r w:rsidRPr="002E56F6">
              <w:rPr>
                <w:rFonts w:hint="cs"/>
                <w:sz w:val="26"/>
                <w:rtl/>
              </w:rPr>
              <w:t>י</w:t>
            </w:r>
            <w:r w:rsidRPr="002E56F6">
              <w:rPr>
                <w:sz w:val="26"/>
                <w:rtl/>
              </w:rPr>
              <w:t xml:space="preserve"> של אדם, ניסיונו ובקיאותו בעבודת הגופים</w:t>
            </w:r>
            <w:r w:rsidRPr="002E56F6">
              <w:rPr>
                <w:rFonts w:hint="cs"/>
                <w:sz w:val="26"/>
                <w:rtl/>
              </w:rPr>
              <w:t xml:space="preserve"> </w:t>
            </w:r>
            <w:r w:rsidRPr="002E56F6">
              <w:rPr>
                <w:sz w:val="26"/>
                <w:rtl/>
              </w:rPr>
              <w:t>המבוקרים, יבואו בחשבון לעניין מינויו.</w:t>
            </w:r>
          </w:p>
        </w:tc>
      </w:tr>
      <w:tr w:rsidR="006243D6" w:rsidRPr="002E56F6" w14:paraId="75B3AD16" w14:textId="77777777" w:rsidTr="006B7E67">
        <w:trPr>
          <w:cantSplit/>
        </w:trPr>
        <w:tc>
          <w:tcPr>
            <w:tcW w:w="1870" w:type="dxa"/>
          </w:tcPr>
          <w:p w14:paraId="4B3D825D" w14:textId="77777777" w:rsidR="006243D6" w:rsidRPr="002E56F6" w:rsidRDefault="006243D6" w:rsidP="006B7E67">
            <w:pPr>
              <w:pStyle w:val="TableSideHeading"/>
              <w:keepLines w:val="0"/>
              <w:rPr>
                <w:rFonts w:eastAsia="Times New Roman"/>
                <w:sz w:val="26"/>
                <w:rtl/>
                <w:lang w:eastAsia="en-US"/>
              </w:rPr>
            </w:pPr>
          </w:p>
        </w:tc>
        <w:tc>
          <w:tcPr>
            <w:tcW w:w="624" w:type="dxa"/>
          </w:tcPr>
          <w:p w14:paraId="11BEFBAF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2"/>
          </w:tcPr>
          <w:p w14:paraId="66CA3081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rFonts w:hint="cs"/>
                <w:sz w:val="26"/>
                <w:rtl/>
              </w:rPr>
              <w:t>(ה)</w:t>
            </w:r>
            <w:r w:rsidRPr="002E56F6">
              <w:rPr>
                <w:sz w:val="26"/>
                <w:rtl/>
              </w:rPr>
              <w:tab/>
              <w:t>הרכב ועדת האיתור יהיה כדלהלן:</w:t>
            </w:r>
            <w:r w:rsidRPr="002E56F6">
              <w:rPr>
                <w:rFonts w:hint="cs"/>
                <w:sz w:val="26"/>
                <w:rtl/>
              </w:rPr>
              <w:t xml:space="preserve"> </w:t>
            </w:r>
          </w:p>
        </w:tc>
      </w:tr>
      <w:tr w:rsidR="006243D6" w:rsidRPr="002E56F6" w14:paraId="22DA9FD5" w14:textId="77777777" w:rsidTr="006B7E67">
        <w:trPr>
          <w:cantSplit/>
        </w:trPr>
        <w:tc>
          <w:tcPr>
            <w:tcW w:w="1870" w:type="dxa"/>
          </w:tcPr>
          <w:p w14:paraId="0904183C" w14:textId="77777777" w:rsidR="006243D6" w:rsidRPr="002E56F6" w:rsidRDefault="006243D6" w:rsidP="006B7E67">
            <w:pPr>
              <w:pStyle w:val="TableSideHeading"/>
              <w:rPr>
                <w:sz w:val="26"/>
              </w:rPr>
            </w:pPr>
          </w:p>
        </w:tc>
        <w:tc>
          <w:tcPr>
            <w:tcW w:w="624" w:type="dxa"/>
          </w:tcPr>
          <w:p w14:paraId="7D22775B" w14:textId="77777777" w:rsidR="006243D6" w:rsidRPr="002E56F6" w:rsidRDefault="006243D6" w:rsidP="006B7E67">
            <w:pPr>
              <w:pStyle w:val="TableText"/>
              <w:rPr>
                <w:sz w:val="26"/>
              </w:rPr>
            </w:pPr>
          </w:p>
        </w:tc>
        <w:tc>
          <w:tcPr>
            <w:tcW w:w="624" w:type="dxa"/>
          </w:tcPr>
          <w:p w14:paraId="2E49DBCA" w14:textId="77777777" w:rsidR="006243D6" w:rsidRPr="002E56F6" w:rsidRDefault="006243D6" w:rsidP="006B7E67">
            <w:pPr>
              <w:pStyle w:val="TableText"/>
              <w:jc w:val="both"/>
              <w:rPr>
                <w:sz w:val="26"/>
              </w:rPr>
            </w:pPr>
          </w:p>
        </w:tc>
        <w:tc>
          <w:tcPr>
            <w:tcW w:w="6520" w:type="dxa"/>
          </w:tcPr>
          <w:p w14:paraId="6281A66D" w14:textId="77777777" w:rsidR="006243D6" w:rsidRPr="002E56F6" w:rsidRDefault="006243D6" w:rsidP="006B7E67">
            <w:pPr>
              <w:pStyle w:val="TableBlock"/>
              <w:rPr>
                <w:sz w:val="26"/>
              </w:rPr>
            </w:pPr>
            <w:r w:rsidRPr="002E56F6">
              <w:rPr>
                <w:rFonts w:hint="cs"/>
                <w:sz w:val="26"/>
                <w:rtl/>
              </w:rPr>
              <w:t>(1</w:t>
            </w:r>
            <w:r w:rsidRPr="002E56F6">
              <w:rPr>
                <w:sz w:val="26"/>
                <w:rtl/>
              </w:rPr>
              <w:t>)</w:t>
            </w:r>
            <w:r w:rsidRPr="002E56F6">
              <w:rPr>
                <w:sz w:val="26"/>
                <w:rtl/>
              </w:rPr>
              <w:tab/>
              <w:t>שופט בית משפט עליון בדימוס – יו"ר;</w:t>
            </w:r>
          </w:p>
        </w:tc>
      </w:tr>
      <w:tr w:rsidR="006243D6" w:rsidRPr="002E56F6" w14:paraId="173A5737" w14:textId="77777777" w:rsidTr="006B7E67">
        <w:trPr>
          <w:cantSplit/>
        </w:trPr>
        <w:tc>
          <w:tcPr>
            <w:tcW w:w="1870" w:type="dxa"/>
          </w:tcPr>
          <w:p w14:paraId="38326800" w14:textId="77777777" w:rsidR="006243D6" w:rsidRPr="002E56F6" w:rsidRDefault="006243D6" w:rsidP="006B7E67">
            <w:pPr>
              <w:pStyle w:val="TableSideHeading"/>
              <w:rPr>
                <w:sz w:val="26"/>
              </w:rPr>
            </w:pPr>
          </w:p>
        </w:tc>
        <w:tc>
          <w:tcPr>
            <w:tcW w:w="624" w:type="dxa"/>
          </w:tcPr>
          <w:p w14:paraId="00CC95A1" w14:textId="77777777" w:rsidR="006243D6" w:rsidRPr="002E56F6" w:rsidRDefault="006243D6" w:rsidP="006B7E67">
            <w:pPr>
              <w:pStyle w:val="TableText"/>
              <w:rPr>
                <w:sz w:val="26"/>
              </w:rPr>
            </w:pPr>
          </w:p>
        </w:tc>
        <w:tc>
          <w:tcPr>
            <w:tcW w:w="624" w:type="dxa"/>
          </w:tcPr>
          <w:p w14:paraId="4394FBDC" w14:textId="77777777" w:rsidR="006243D6" w:rsidRPr="002E56F6" w:rsidRDefault="006243D6" w:rsidP="006B7E67">
            <w:pPr>
              <w:pStyle w:val="TableText"/>
              <w:jc w:val="both"/>
              <w:rPr>
                <w:sz w:val="26"/>
              </w:rPr>
            </w:pPr>
          </w:p>
        </w:tc>
        <w:tc>
          <w:tcPr>
            <w:tcW w:w="6520" w:type="dxa"/>
          </w:tcPr>
          <w:p w14:paraId="458EED81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(2)</w:t>
            </w:r>
            <w:r w:rsidRPr="002E56F6">
              <w:rPr>
                <w:sz w:val="26"/>
                <w:rtl/>
              </w:rPr>
              <w:tab/>
              <w:t>נציב שירות המדינה – חבר;</w:t>
            </w:r>
          </w:p>
        </w:tc>
      </w:tr>
      <w:tr w:rsidR="006243D6" w:rsidRPr="002E56F6" w14:paraId="2600A048" w14:textId="77777777" w:rsidTr="006B7E67">
        <w:trPr>
          <w:cantSplit/>
        </w:trPr>
        <w:tc>
          <w:tcPr>
            <w:tcW w:w="1870" w:type="dxa"/>
          </w:tcPr>
          <w:p w14:paraId="34309B4B" w14:textId="77777777" w:rsidR="006243D6" w:rsidRPr="002E56F6" w:rsidRDefault="006243D6" w:rsidP="006B7E67">
            <w:pPr>
              <w:pStyle w:val="TableSideHeading"/>
              <w:rPr>
                <w:sz w:val="26"/>
              </w:rPr>
            </w:pPr>
          </w:p>
        </w:tc>
        <w:tc>
          <w:tcPr>
            <w:tcW w:w="624" w:type="dxa"/>
          </w:tcPr>
          <w:p w14:paraId="47C25C92" w14:textId="77777777" w:rsidR="006243D6" w:rsidRPr="002E56F6" w:rsidRDefault="006243D6" w:rsidP="006B7E67">
            <w:pPr>
              <w:pStyle w:val="TableText"/>
              <w:rPr>
                <w:sz w:val="26"/>
              </w:rPr>
            </w:pPr>
          </w:p>
        </w:tc>
        <w:tc>
          <w:tcPr>
            <w:tcW w:w="624" w:type="dxa"/>
          </w:tcPr>
          <w:p w14:paraId="06661C18" w14:textId="77777777" w:rsidR="006243D6" w:rsidRPr="002E56F6" w:rsidRDefault="006243D6" w:rsidP="006B7E67">
            <w:pPr>
              <w:pStyle w:val="TableText"/>
              <w:jc w:val="both"/>
              <w:rPr>
                <w:sz w:val="26"/>
              </w:rPr>
            </w:pPr>
          </w:p>
        </w:tc>
        <w:tc>
          <w:tcPr>
            <w:tcW w:w="6520" w:type="dxa"/>
          </w:tcPr>
          <w:p w14:paraId="16506A09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(3)</w:t>
            </w:r>
            <w:r w:rsidRPr="002E56F6">
              <w:rPr>
                <w:sz w:val="26"/>
                <w:rtl/>
              </w:rPr>
              <w:tab/>
              <w:t>המנהל הכללי של משרד המשפטים – חבר;</w:t>
            </w:r>
          </w:p>
        </w:tc>
      </w:tr>
      <w:tr w:rsidR="006243D6" w:rsidRPr="002E56F6" w14:paraId="28B8C416" w14:textId="77777777" w:rsidTr="006B7E67">
        <w:trPr>
          <w:cantSplit/>
        </w:trPr>
        <w:tc>
          <w:tcPr>
            <w:tcW w:w="1870" w:type="dxa"/>
          </w:tcPr>
          <w:p w14:paraId="0111A8CD" w14:textId="77777777" w:rsidR="006243D6" w:rsidRPr="002E56F6" w:rsidRDefault="006243D6" w:rsidP="006B7E67">
            <w:pPr>
              <w:pStyle w:val="TableSideHeading"/>
              <w:rPr>
                <w:sz w:val="26"/>
              </w:rPr>
            </w:pPr>
          </w:p>
        </w:tc>
        <w:tc>
          <w:tcPr>
            <w:tcW w:w="624" w:type="dxa"/>
          </w:tcPr>
          <w:p w14:paraId="1D856E42" w14:textId="77777777" w:rsidR="006243D6" w:rsidRPr="002E56F6" w:rsidRDefault="006243D6" w:rsidP="006B7E67">
            <w:pPr>
              <w:pStyle w:val="TableText"/>
              <w:rPr>
                <w:sz w:val="26"/>
              </w:rPr>
            </w:pPr>
          </w:p>
        </w:tc>
        <w:tc>
          <w:tcPr>
            <w:tcW w:w="624" w:type="dxa"/>
          </w:tcPr>
          <w:p w14:paraId="22E38CC8" w14:textId="77777777" w:rsidR="006243D6" w:rsidRPr="002E56F6" w:rsidRDefault="006243D6" w:rsidP="006B7E67">
            <w:pPr>
              <w:pStyle w:val="TableText"/>
              <w:jc w:val="both"/>
              <w:rPr>
                <w:sz w:val="26"/>
              </w:rPr>
            </w:pPr>
          </w:p>
        </w:tc>
        <w:tc>
          <w:tcPr>
            <w:tcW w:w="6520" w:type="dxa"/>
          </w:tcPr>
          <w:p w14:paraId="0E9C997B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(4)</w:t>
            </w:r>
            <w:r w:rsidRPr="002E56F6">
              <w:rPr>
                <w:sz w:val="26"/>
                <w:rtl/>
              </w:rPr>
              <w:tab/>
              <w:t>איש אקדמיה בכיר בתחום המשפט</w:t>
            </w:r>
            <w:r w:rsidRPr="002E56F6">
              <w:rPr>
                <w:rFonts w:hint="cs"/>
                <w:sz w:val="26"/>
                <w:rtl/>
              </w:rPr>
              <w:t>,</w:t>
            </w:r>
            <w:r w:rsidRPr="002E56F6">
              <w:rPr>
                <w:sz w:val="26"/>
                <w:rtl/>
              </w:rPr>
              <w:t xml:space="preserve"> שימנה היועץ המשפטי</w:t>
            </w:r>
            <w:r w:rsidRPr="002E56F6">
              <w:rPr>
                <w:rFonts w:hint="cs"/>
                <w:sz w:val="26"/>
                <w:rtl/>
              </w:rPr>
              <w:t xml:space="preserve"> </w:t>
            </w:r>
            <w:r w:rsidRPr="002E56F6">
              <w:rPr>
                <w:sz w:val="26"/>
                <w:rtl/>
              </w:rPr>
              <w:t>לממשלה</w:t>
            </w:r>
            <w:r w:rsidRPr="002E56F6">
              <w:rPr>
                <w:rFonts w:hint="cs"/>
                <w:sz w:val="26"/>
                <w:rtl/>
              </w:rPr>
              <w:t>;</w:t>
            </w:r>
          </w:p>
        </w:tc>
      </w:tr>
      <w:tr w:rsidR="006243D6" w:rsidRPr="002E56F6" w14:paraId="2F88421F" w14:textId="77777777" w:rsidTr="006B7E67">
        <w:trPr>
          <w:cantSplit/>
        </w:trPr>
        <w:tc>
          <w:tcPr>
            <w:tcW w:w="1870" w:type="dxa"/>
          </w:tcPr>
          <w:p w14:paraId="53474B42" w14:textId="77777777" w:rsidR="006243D6" w:rsidRPr="002E56F6" w:rsidRDefault="006243D6" w:rsidP="006B7E67">
            <w:pPr>
              <w:pStyle w:val="TableSideHeading"/>
              <w:rPr>
                <w:sz w:val="26"/>
              </w:rPr>
            </w:pPr>
          </w:p>
        </w:tc>
        <w:tc>
          <w:tcPr>
            <w:tcW w:w="624" w:type="dxa"/>
          </w:tcPr>
          <w:p w14:paraId="711EFB34" w14:textId="77777777" w:rsidR="006243D6" w:rsidRPr="002E56F6" w:rsidRDefault="006243D6" w:rsidP="006B7E67">
            <w:pPr>
              <w:pStyle w:val="TableText"/>
              <w:rPr>
                <w:sz w:val="26"/>
              </w:rPr>
            </w:pPr>
          </w:p>
        </w:tc>
        <w:tc>
          <w:tcPr>
            <w:tcW w:w="624" w:type="dxa"/>
          </w:tcPr>
          <w:p w14:paraId="4C97E257" w14:textId="77777777" w:rsidR="006243D6" w:rsidRPr="002E56F6" w:rsidRDefault="006243D6" w:rsidP="006B7E67">
            <w:pPr>
              <w:pStyle w:val="TableText"/>
              <w:jc w:val="both"/>
              <w:rPr>
                <w:sz w:val="26"/>
              </w:rPr>
            </w:pPr>
          </w:p>
        </w:tc>
        <w:tc>
          <w:tcPr>
            <w:tcW w:w="6520" w:type="dxa"/>
          </w:tcPr>
          <w:p w14:paraId="79D30589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(5)</w:t>
            </w:r>
            <w:r w:rsidRPr="002E56F6">
              <w:rPr>
                <w:sz w:val="26"/>
                <w:rtl/>
              </w:rPr>
              <w:tab/>
              <w:t>נציג ציבור בעל ידע והיכרות בתחום הביקורת והבקרה</w:t>
            </w:r>
            <w:r w:rsidRPr="002E56F6">
              <w:rPr>
                <w:rFonts w:hint="cs"/>
                <w:sz w:val="26"/>
                <w:rtl/>
              </w:rPr>
              <w:t>,</w:t>
            </w:r>
            <w:r w:rsidRPr="002E56F6">
              <w:rPr>
                <w:sz w:val="26"/>
                <w:rtl/>
              </w:rPr>
              <w:t xml:space="preserve"> שימנה</w:t>
            </w:r>
            <w:r w:rsidRPr="002E56F6">
              <w:rPr>
                <w:rFonts w:hint="cs"/>
                <w:sz w:val="26"/>
                <w:rtl/>
              </w:rPr>
              <w:t xml:space="preserve"> </w:t>
            </w:r>
            <w:r w:rsidRPr="002E56F6">
              <w:rPr>
                <w:sz w:val="26"/>
                <w:rtl/>
              </w:rPr>
              <w:t>נציב שירות המדינה.</w:t>
            </w:r>
          </w:p>
        </w:tc>
      </w:tr>
      <w:tr w:rsidR="006243D6" w:rsidRPr="002E56F6" w14:paraId="5F0929D8" w14:textId="77777777" w:rsidTr="006B7E67">
        <w:trPr>
          <w:cantSplit/>
        </w:trPr>
        <w:tc>
          <w:tcPr>
            <w:tcW w:w="1870" w:type="dxa"/>
          </w:tcPr>
          <w:p w14:paraId="195D61BA" w14:textId="77777777" w:rsidR="006243D6" w:rsidRPr="002E56F6" w:rsidRDefault="006243D6" w:rsidP="006B7E67">
            <w:pPr>
              <w:pStyle w:val="TableSideHeading"/>
              <w:keepLines w:val="0"/>
              <w:rPr>
                <w:rFonts w:eastAsia="Times New Roman"/>
                <w:sz w:val="26"/>
                <w:rtl/>
                <w:lang w:eastAsia="en-US"/>
              </w:rPr>
            </w:pPr>
            <w:r w:rsidRPr="002E56F6">
              <w:rPr>
                <w:rFonts w:eastAsia="Times New Roman"/>
                <w:sz w:val="26"/>
                <w:rtl/>
                <w:lang w:eastAsia="en-US"/>
              </w:rPr>
              <w:t>משך הכהונה</w:t>
            </w:r>
          </w:p>
        </w:tc>
        <w:tc>
          <w:tcPr>
            <w:tcW w:w="624" w:type="dxa"/>
          </w:tcPr>
          <w:p w14:paraId="2E7AD478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  <w:r w:rsidRPr="002E56F6">
              <w:rPr>
                <w:rFonts w:hint="cs"/>
                <w:sz w:val="26"/>
                <w:rtl/>
              </w:rPr>
              <w:t>9.</w:t>
            </w:r>
          </w:p>
        </w:tc>
        <w:tc>
          <w:tcPr>
            <w:tcW w:w="7144" w:type="dxa"/>
            <w:gridSpan w:val="2"/>
          </w:tcPr>
          <w:p w14:paraId="3935C667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כהונת נציב התלונות פוקעת –</w:t>
            </w:r>
          </w:p>
        </w:tc>
      </w:tr>
      <w:tr w:rsidR="006243D6" w:rsidRPr="002E56F6" w14:paraId="02E52247" w14:textId="77777777" w:rsidTr="006B7E67">
        <w:trPr>
          <w:cantSplit/>
        </w:trPr>
        <w:tc>
          <w:tcPr>
            <w:tcW w:w="1870" w:type="dxa"/>
          </w:tcPr>
          <w:p w14:paraId="7D9727CB" w14:textId="77777777" w:rsidR="006243D6" w:rsidRPr="002E56F6" w:rsidRDefault="006243D6" w:rsidP="006B7E67">
            <w:pPr>
              <w:pStyle w:val="TableSideHeading"/>
              <w:keepLines w:val="0"/>
              <w:rPr>
                <w:rFonts w:eastAsia="Times New Roman"/>
                <w:sz w:val="26"/>
                <w:rtl/>
                <w:lang w:eastAsia="en-US"/>
              </w:rPr>
            </w:pPr>
          </w:p>
        </w:tc>
        <w:tc>
          <w:tcPr>
            <w:tcW w:w="624" w:type="dxa"/>
          </w:tcPr>
          <w:p w14:paraId="2ADE9F44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2"/>
          </w:tcPr>
          <w:p w14:paraId="3990CBBF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(1)</w:t>
            </w:r>
            <w:r w:rsidRPr="002E56F6">
              <w:rPr>
                <w:sz w:val="26"/>
                <w:rtl/>
              </w:rPr>
              <w:tab/>
              <w:t>בתום תקופתה;</w:t>
            </w:r>
          </w:p>
        </w:tc>
      </w:tr>
      <w:tr w:rsidR="006243D6" w:rsidRPr="002E56F6" w14:paraId="38B2853B" w14:textId="77777777" w:rsidTr="006B7E67">
        <w:trPr>
          <w:cantSplit/>
        </w:trPr>
        <w:tc>
          <w:tcPr>
            <w:tcW w:w="1870" w:type="dxa"/>
          </w:tcPr>
          <w:p w14:paraId="2B60A0A3" w14:textId="77777777" w:rsidR="006243D6" w:rsidRPr="002E56F6" w:rsidRDefault="006243D6" w:rsidP="006B7E67">
            <w:pPr>
              <w:pStyle w:val="TableSideHeading"/>
              <w:keepLines w:val="0"/>
              <w:rPr>
                <w:rFonts w:eastAsia="Times New Roman"/>
                <w:sz w:val="26"/>
                <w:rtl/>
                <w:lang w:eastAsia="en-US"/>
              </w:rPr>
            </w:pPr>
          </w:p>
        </w:tc>
        <w:tc>
          <w:tcPr>
            <w:tcW w:w="624" w:type="dxa"/>
          </w:tcPr>
          <w:p w14:paraId="34FF5274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2"/>
          </w:tcPr>
          <w:p w14:paraId="420AF053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(2)</w:t>
            </w:r>
            <w:r w:rsidRPr="002E56F6">
              <w:rPr>
                <w:sz w:val="26"/>
                <w:rtl/>
              </w:rPr>
              <w:tab/>
              <w:t>בפטירתו או בהתפטרותו;</w:t>
            </w:r>
          </w:p>
        </w:tc>
      </w:tr>
      <w:tr w:rsidR="006243D6" w:rsidRPr="002E56F6" w14:paraId="2A1D4A6B" w14:textId="77777777" w:rsidTr="006B7E67">
        <w:trPr>
          <w:cantSplit/>
        </w:trPr>
        <w:tc>
          <w:tcPr>
            <w:tcW w:w="1870" w:type="dxa"/>
          </w:tcPr>
          <w:p w14:paraId="33AE038C" w14:textId="77777777" w:rsidR="006243D6" w:rsidRPr="002E56F6" w:rsidRDefault="006243D6" w:rsidP="006B7E67">
            <w:pPr>
              <w:pStyle w:val="TableSideHeading"/>
              <w:keepLines w:val="0"/>
              <w:rPr>
                <w:rFonts w:eastAsia="Times New Roman"/>
                <w:sz w:val="26"/>
                <w:rtl/>
                <w:lang w:eastAsia="en-US"/>
              </w:rPr>
            </w:pPr>
          </w:p>
        </w:tc>
        <w:tc>
          <w:tcPr>
            <w:tcW w:w="624" w:type="dxa"/>
          </w:tcPr>
          <w:p w14:paraId="35CAE6E7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2"/>
          </w:tcPr>
          <w:p w14:paraId="44090BFA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(3)</w:t>
            </w:r>
            <w:r w:rsidRPr="002E56F6">
              <w:rPr>
                <w:sz w:val="26"/>
                <w:rtl/>
              </w:rPr>
              <w:tab/>
              <w:t>בהעברתו מכהונתו כאמור בחוק זה.</w:t>
            </w:r>
          </w:p>
        </w:tc>
      </w:tr>
      <w:tr w:rsidR="006243D6" w:rsidRPr="002E56F6" w14:paraId="1EF472D8" w14:textId="77777777" w:rsidTr="006B7E67">
        <w:trPr>
          <w:cantSplit/>
        </w:trPr>
        <w:tc>
          <w:tcPr>
            <w:tcW w:w="1870" w:type="dxa"/>
          </w:tcPr>
          <w:p w14:paraId="40BCA11F" w14:textId="77777777" w:rsidR="006243D6" w:rsidRPr="002E56F6" w:rsidRDefault="006243D6" w:rsidP="006B7E67">
            <w:pPr>
              <w:pStyle w:val="TableSideHeading"/>
              <w:keepLines w:val="0"/>
              <w:rPr>
                <w:rFonts w:eastAsia="Times New Roman"/>
                <w:sz w:val="26"/>
                <w:rtl/>
                <w:lang w:eastAsia="en-US"/>
              </w:rPr>
            </w:pPr>
            <w:r w:rsidRPr="002E56F6">
              <w:rPr>
                <w:rFonts w:eastAsia="Times New Roman"/>
                <w:sz w:val="26"/>
                <w:rtl/>
                <w:lang w:eastAsia="en-US"/>
              </w:rPr>
              <w:t>העברה מכהונה</w:t>
            </w:r>
          </w:p>
        </w:tc>
        <w:tc>
          <w:tcPr>
            <w:tcW w:w="624" w:type="dxa"/>
          </w:tcPr>
          <w:p w14:paraId="1F7DE939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  <w:r w:rsidRPr="002E56F6">
              <w:rPr>
                <w:rFonts w:hint="cs"/>
                <w:sz w:val="26"/>
                <w:rtl/>
              </w:rPr>
              <w:t>10.</w:t>
            </w:r>
          </w:p>
        </w:tc>
        <w:tc>
          <w:tcPr>
            <w:tcW w:w="7144" w:type="dxa"/>
            <w:gridSpan w:val="2"/>
          </w:tcPr>
          <w:p w14:paraId="3C68E3B5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rFonts w:hint="cs"/>
                <w:sz w:val="26"/>
                <w:rtl/>
              </w:rPr>
              <w:t>(א)</w:t>
            </w:r>
            <w:r w:rsidRPr="002E56F6">
              <w:rPr>
                <w:sz w:val="26"/>
                <w:rtl/>
              </w:rPr>
              <w:tab/>
              <w:t>השר רשאי להעביר את הנציב מתפקידו לפני תום תקופת כהונתו,</w:t>
            </w:r>
            <w:r w:rsidRPr="002E56F6">
              <w:rPr>
                <w:rFonts w:hint="cs"/>
                <w:sz w:val="26"/>
                <w:rtl/>
              </w:rPr>
              <w:t xml:space="preserve"> ו</w:t>
            </w:r>
            <w:r w:rsidRPr="002E56F6">
              <w:rPr>
                <w:sz w:val="26"/>
                <w:rtl/>
              </w:rPr>
              <w:t>לאחר שנתן לו הזדמנות להשמיע טענותיו, אם התקיים אחד מאלה:</w:t>
            </w:r>
          </w:p>
        </w:tc>
      </w:tr>
      <w:tr w:rsidR="006243D6" w:rsidRPr="002E56F6" w14:paraId="23A3B462" w14:textId="77777777" w:rsidTr="006B7E67">
        <w:trPr>
          <w:cantSplit/>
        </w:trPr>
        <w:tc>
          <w:tcPr>
            <w:tcW w:w="1870" w:type="dxa"/>
          </w:tcPr>
          <w:p w14:paraId="22E68503" w14:textId="77777777" w:rsidR="006243D6" w:rsidRPr="002E56F6" w:rsidRDefault="006243D6" w:rsidP="006B7E67">
            <w:pPr>
              <w:pStyle w:val="TableSideHeading"/>
              <w:rPr>
                <w:sz w:val="26"/>
              </w:rPr>
            </w:pPr>
          </w:p>
        </w:tc>
        <w:tc>
          <w:tcPr>
            <w:tcW w:w="624" w:type="dxa"/>
          </w:tcPr>
          <w:p w14:paraId="008994F1" w14:textId="77777777" w:rsidR="006243D6" w:rsidRPr="002E56F6" w:rsidRDefault="006243D6" w:rsidP="006B7E67">
            <w:pPr>
              <w:pStyle w:val="TableText"/>
              <w:rPr>
                <w:sz w:val="26"/>
              </w:rPr>
            </w:pPr>
          </w:p>
        </w:tc>
        <w:tc>
          <w:tcPr>
            <w:tcW w:w="624" w:type="dxa"/>
          </w:tcPr>
          <w:p w14:paraId="392394A7" w14:textId="77777777" w:rsidR="006243D6" w:rsidRPr="002E56F6" w:rsidRDefault="006243D6" w:rsidP="006B7E67">
            <w:pPr>
              <w:pStyle w:val="TableText"/>
              <w:jc w:val="both"/>
              <w:rPr>
                <w:sz w:val="26"/>
              </w:rPr>
            </w:pPr>
          </w:p>
        </w:tc>
        <w:tc>
          <w:tcPr>
            <w:tcW w:w="6520" w:type="dxa"/>
          </w:tcPr>
          <w:p w14:paraId="250A9FDD" w14:textId="77777777" w:rsidR="006243D6" w:rsidRPr="002E56F6" w:rsidRDefault="006243D6" w:rsidP="006B7E67">
            <w:pPr>
              <w:pStyle w:val="TableBlock"/>
              <w:rPr>
                <w:sz w:val="26"/>
              </w:rPr>
            </w:pPr>
            <w:r w:rsidRPr="002E56F6">
              <w:rPr>
                <w:sz w:val="26"/>
                <w:rtl/>
              </w:rPr>
              <w:t>(1)</w:t>
            </w:r>
            <w:r w:rsidRPr="002E56F6">
              <w:rPr>
                <w:sz w:val="26"/>
                <w:rtl/>
              </w:rPr>
              <w:tab/>
              <w:t>נבצר מהנציב למלא את תפקידיו במשך תקופה העולה על שישה</w:t>
            </w:r>
            <w:r w:rsidRPr="002E56F6">
              <w:rPr>
                <w:rFonts w:hint="cs"/>
                <w:sz w:val="26"/>
                <w:rtl/>
              </w:rPr>
              <w:t xml:space="preserve"> </w:t>
            </w:r>
            <w:r w:rsidRPr="002E56F6">
              <w:rPr>
                <w:sz w:val="26"/>
                <w:rtl/>
              </w:rPr>
              <w:t xml:space="preserve">חודשים רצופים;  </w:t>
            </w:r>
          </w:p>
        </w:tc>
      </w:tr>
      <w:tr w:rsidR="006243D6" w:rsidRPr="002E56F6" w14:paraId="75282C0C" w14:textId="77777777" w:rsidTr="006B7E67">
        <w:trPr>
          <w:cantSplit/>
        </w:trPr>
        <w:tc>
          <w:tcPr>
            <w:tcW w:w="1870" w:type="dxa"/>
          </w:tcPr>
          <w:p w14:paraId="5A4BD7EF" w14:textId="77777777" w:rsidR="006243D6" w:rsidRPr="002E56F6" w:rsidRDefault="006243D6" w:rsidP="006B7E67">
            <w:pPr>
              <w:pStyle w:val="TableSideHeading"/>
              <w:rPr>
                <w:sz w:val="26"/>
              </w:rPr>
            </w:pPr>
          </w:p>
        </w:tc>
        <w:tc>
          <w:tcPr>
            <w:tcW w:w="624" w:type="dxa"/>
          </w:tcPr>
          <w:p w14:paraId="2AA7DED7" w14:textId="77777777" w:rsidR="006243D6" w:rsidRPr="002E56F6" w:rsidRDefault="006243D6" w:rsidP="006B7E67">
            <w:pPr>
              <w:pStyle w:val="TableText"/>
              <w:rPr>
                <w:sz w:val="26"/>
              </w:rPr>
            </w:pPr>
          </w:p>
        </w:tc>
        <w:tc>
          <w:tcPr>
            <w:tcW w:w="624" w:type="dxa"/>
          </w:tcPr>
          <w:p w14:paraId="051CB0FB" w14:textId="77777777" w:rsidR="006243D6" w:rsidRPr="002E56F6" w:rsidRDefault="006243D6" w:rsidP="006B7E67">
            <w:pPr>
              <w:pStyle w:val="TableText"/>
              <w:jc w:val="both"/>
              <w:rPr>
                <w:sz w:val="26"/>
              </w:rPr>
            </w:pPr>
          </w:p>
        </w:tc>
        <w:tc>
          <w:tcPr>
            <w:tcW w:w="6520" w:type="dxa"/>
          </w:tcPr>
          <w:p w14:paraId="38BE3C9D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(2)</w:t>
            </w:r>
            <w:r w:rsidRPr="002E56F6">
              <w:rPr>
                <w:sz w:val="26"/>
                <w:rtl/>
              </w:rPr>
              <w:tab/>
              <w:t>הנציב הורשע בעבירה אשר מפאת מהותה, חומרתה או</w:t>
            </w:r>
            <w:r w:rsidRPr="002E56F6">
              <w:rPr>
                <w:rFonts w:hint="cs"/>
                <w:sz w:val="26"/>
                <w:rtl/>
              </w:rPr>
              <w:t xml:space="preserve"> </w:t>
            </w:r>
            <w:r w:rsidRPr="002E56F6">
              <w:rPr>
                <w:sz w:val="26"/>
                <w:rtl/>
              </w:rPr>
              <w:t xml:space="preserve">נסיבותיה, אין הוא ראוי לשמש נציב;  </w:t>
            </w:r>
          </w:p>
        </w:tc>
      </w:tr>
      <w:tr w:rsidR="006243D6" w:rsidRPr="002E56F6" w14:paraId="1BA9709D" w14:textId="77777777" w:rsidTr="006B7E67">
        <w:trPr>
          <w:cantSplit/>
        </w:trPr>
        <w:tc>
          <w:tcPr>
            <w:tcW w:w="1870" w:type="dxa"/>
          </w:tcPr>
          <w:p w14:paraId="212EC079" w14:textId="77777777" w:rsidR="006243D6" w:rsidRPr="002E56F6" w:rsidRDefault="006243D6" w:rsidP="006B7E67">
            <w:pPr>
              <w:pStyle w:val="TableSideHeading"/>
              <w:rPr>
                <w:sz w:val="26"/>
              </w:rPr>
            </w:pPr>
          </w:p>
        </w:tc>
        <w:tc>
          <w:tcPr>
            <w:tcW w:w="624" w:type="dxa"/>
          </w:tcPr>
          <w:p w14:paraId="199A9C07" w14:textId="77777777" w:rsidR="006243D6" w:rsidRPr="002E56F6" w:rsidRDefault="006243D6" w:rsidP="006B7E67">
            <w:pPr>
              <w:pStyle w:val="TableText"/>
              <w:rPr>
                <w:sz w:val="26"/>
              </w:rPr>
            </w:pPr>
          </w:p>
        </w:tc>
        <w:tc>
          <w:tcPr>
            <w:tcW w:w="624" w:type="dxa"/>
          </w:tcPr>
          <w:p w14:paraId="5B60899D" w14:textId="77777777" w:rsidR="006243D6" w:rsidRPr="002E56F6" w:rsidRDefault="006243D6" w:rsidP="006B7E67">
            <w:pPr>
              <w:pStyle w:val="TableText"/>
              <w:jc w:val="both"/>
              <w:rPr>
                <w:sz w:val="26"/>
              </w:rPr>
            </w:pPr>
          </w:p>
        </w:tc>
        <w:tc>
          <w:tcPr>
            <w:tcW w:w="6520" w:type="dxa"/>
          </w:tcPr>
          <w:p w14:paraId="218C3A68" w14:textId="77777777" w:rsidR="006243D6" w:rsidRPr="002E56F6" w:rsidRDefault="006243D6" w:rsidP="006B7E67">
            <w:pPr>
              <w:pStyle w:val="TableBlock"/>
              <w:rPr>
                <w:sz w:val="26"/>
              </w:rPr>
            </w:pPr>
            <w:r w:rsidRPr="002E56F6">
              <w:rPr>
                <w:sz w:val="26"/>
                <w:rtl/>
              </w:rPr>
              <w:t>(3)</w:t>
            </w:r>
            <w:r w:rsidRPr="002E56F6">
              <w:rPr>
                <w:sz w:val="26"/>
                <w:rtl/>
              </w:rPr>
              <w:tab/>
              <w:t>מתנהלת חקירה פלילית או הוגש כתב אישום נגד הנצי</w:t>
            </w:r>
            <w:r w:rsidRPr="002E56F6">
              <w:rPr>
                <w:rFonts w:hint="cs"/>
                <w:sz w:val="26"/>
                <w:rtl/>
              </w:rPr>
              <w:t>ב;</w:t>
            </w:r>
          </w:p>
        </w:tc>
      </w:tr>
      <w:tr w:rsidR="006243D6" w:rsidRPr="002E56F6" w14:paraId="3ADE6571" w14:textId="77777777" w:rsidTr="006B7E67">
        <w:trPr>
          <w:cantSplit/>
        </w:trPr>
        <w:tc>
          <w:tcPr>
            <w:tcW w:w="1870" w:type="dxa"/>
          </w:tcPr>
          <w:p w14:paraId="4E51FFCA" w14:textId="77777777" w:rsidR="006243D6" w:rsidRPr="002E56F6" w:rsidRDefault="006243D6" w:rsidP="006B7E67">
            <w:pPr>
              <w:pStyle w:val="TableSideHeading"/>
              <w:rPr>
                <w:sz w:val="26"/>
              </w:rPr>
            </w:pPr>
          </w:p>
        </w:tc>
        <w:tc>
          <w:tcPr>
            <w:tcW w:w="624" w:type="dxa"/>
          </w:tcPr>
          <w:p w14:paraId="3ACED089" w14:textId="77777777" w:rsidR="006243D6" w:rsidRPr="002E56F6" w:rsidRDefault="006243D6" w:rsidP="006B7E67">
            <w:pPr>
              <w:pStyle w:val="TableText"/>
              <w:rPr>
                <w:sz w:val="26"/>
              </w:rPr>
            </w:pPr>
          </w:p>
        </w:tc>
        <w:tc>
          <w:tcPr>
            <w:tcW w:w="624" w:type="dxa"/>
          </w:tcPr>
          <w:p w14:paraId="2B22DDAE" w14:textId="77777777" w:rsidR="006243D6" w:rsidRPr="002E56F6" w:rsidRDefault="006243D6" w:rsidP="006B7E67">
            <w:pPr>
              <w:pStyle w:val="TableText"/>
              <w:jc w:val="both"/>
              <w:rPr>
                <w:sz w:val="26"/>
              </w:rPr>
            </w:pPr>
          </w:p>
        </w:tc>
        <w:tc>
          <w:tcPr>
            <w:tcW w:w="6520" w:type="dxa"/>
          </w:tcPr>
          <w:p w14:paraId="739F21BE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(4)</w:t>
            </w:r>
            <w:r w:rsidRPr="002E56F6">
              <w:rPr>
                <w:sz w:val="26"/>
                <w:rtl/>
              </w:rPr>
              <w:tab/>
              <w:t xml:space="preserve">הוא התנהג באופן שאינו הולם את מעמדו, ויש בכך </w:t>
            </w:r>
            <w:r w:rsidRPr="002E56F6">
              <w:rPr>
                <w:rFonts w:hint="cs"/>
                <w:sz w:val="26"/>
                <w:rtl/>
              </w:rPr>
              <w:t xml:space="preserve">כדי </w:t>
            </w:r>
            <w:r w:rsidRPr="002E56F6">
              <w:rPr>
                <w:sz w:val="26"/>
                <w:rtl/>
              </w:rPr>
              <w:t>לפגוע</w:t>
            </w:r>
            <w:r w:rsidRPr="002E56F6">
              <w:rPr>
                <w:rFonts w:hint="cs"/>
                <w:sz w:val="26"/>
                <w:rtl/>
              </w:rPr>
              <w:t xml:space="preserve"> </w:t>
            </w:r>
            <w:r w:rsidRPr="002E56F6">
              <w:rPr>
                <w:sz w:val="26"/>
                <w:rtl/>
              </w:rPr>
              <w:t>באמון הציבור בנציבות</w:t>
            </w:r>
            <w:r w:rsidRPr="002E56F6">
              <w:rPr>
                <w:rFonts w:hint="cs"/>
                <w:sz w:val="26"/>
                <w:rtl/>
              </w:rPr>
              <w:t>;</w:t>
            </w:r>
          </w:p>
        </w:tc>
      </w:tr>
      <w:tr w:rsidR="006243D6" w:rsidRPr="002E56F6" w14:paraId="3C541319" w14:textId="77777777" w:rsidTr="006B7E67">
        <w:trPr>
          <w:cantSplit/>
        </w:trPr>
        <w:tc>
          <w:tcPr>
            <w:tcW w:w="1870" w:type="dxa"/>
          </w:tcPr>
          <w:p w14:paraId="00E67DCA" w14:textId="77777777" w:rsidR="006243D6" w:rsidRPr="002E56F6" w:rsidRDefault="006243D6" w:rsidP="006B7E67">
            <w:pPr>
              <w:pStyle w:val="TableSideHeading"/>
              <w:keepLines w:val="0"/>
              <w:rPr>
                <w:rFonts w:eastAsia="Times New Roman"/>
                <w:sz w:val="26"/>
                <w:rtl/>
                <w:lang w:eastAsia="en-US"/>
              </w:rPr>
            </w:pPr>
          </w:p>
        </w:tc>
        <w:tc>
          <w:tcPr>
            <w:tcW w:w="624" w:type="dxa"/>
          </w:tcPr>
          <w:p w14:paraId="25746AC7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2"/>
          </w:tcPr>
          <w:p w14:paraId="7E311734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rFonts w:hint="cs"/>
                <w:sz w:val="26"/>
                <w:rtl/>
              </w:rPr>
              <w:t>(ב)</w:t>
            </w:r>
            <w:r w:rsidRPr="002E56F6">
              <w:rPr>
                <w:sz w:val="26"/>
                <w:rtl/>
              </w:rPr>
              <w:tab/>
              <w:t>השר רשאי להשעות את הנציב לתקופה שיקבע, אם נפתחה נגדו</w:t>
            </w:r>
            <w:r w:rsidRPr="002E56F6">
              <w:rPr>
                <w:rFonts w:hint="cs"/>
                <w:sz w:val="26"/>
                <w:rtl/>
              </w:rPr>
              <w:t xml:space="preserve"> </w:t>
            </w:r>
            <w:r w:rsidRPr="002E56F6">
              <w:rPr>
                <w:sz w:val="26"/>
                <w:rtl/>
              </w:rPr>
              <w:t>חקירה פלילית או הוגש נגדו כתב אישום</w:t>
            </w:r>
            <w:r w:rsidRPr="002E56F6">
              <w:rPr>
                <w:rFonts w:hint="cs"/>
                <w:sz w:val="26"/>
                <w:rtl/>
              </w:rPr>
              <w:t>.</w:t>
            </w:r>
          </w:p>
        </w:tc>
      </w:tr>
      <w:tr w:rsidR="006243D6" w:rsidRPr="002E56F6" w14:paraId="7CBBFFD9" w14:textId="77777777" w:rsidTr="006B7E67">
        <w:trPr>
          <w:cantSplit/>
        </w:trPr>
        <w:tc>
          <w:tcPr>
            <w:tcW w:w="1870" w:type="dxa"/>
          </w:tcPr>
          <w:p w14:paraId="006D8937" w14:textId="77777777" w:rsidR="006243D6" w:rsidRPr="002E56F6" w:rsidRDefault="006243D6" w:rsidP="006B7E67">
            <w:pPr>
              <w:pStyle w:val="TableSideHeading"/>
              <w:keepLines w:val="0"/>
              <w:rPr>
                <w:rFonts w:eastAsia="Times New Roman"/>
                <w:sz w:val="26"/>
                <w:rtl/>
                <w:lang w:eastAsia="en-US"/>
              </w:rPr>
            </w:pPr>
            <w:r w:rsidRPr="002E56F6">
              <w:rPr>
                <w:rFonts w:eastAsia="Times New Roman"/>
                <w:sz w:val="26"/>
                <w:rtl/>
                <w:lang w:eastAsia="en-US"/>
              </w:rPr>
              <w:t>עובדי הנציבות</w:t>
            </w:r>
          </w:p>
        </w:tc>
        <w:tc>
          <w:tcPr>
            <w:tcW w:w="624" w:type="dxa"/>
          </w:tcPr>
          <w:p w14:paraId="0535C260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  <w:r w:rsidRPr="002E56F6">
              <w:rPr>
                <w:rFonts w:hint="cs"/>
                <w:sz w:val="26"/>
                <w:rtl/>
              </w:rPr>
              <w:t>11.</w:t>
            </w:r>
          </w:p>
        </w:tc>
        <w:tc>
          <w:tcPr>
            <w:tcW w:w="7144" w:type="dxa"/>
            <w:gridSpan w:val="2"/>
          </w:tcPr>
          <w:p w14:paraId="7A6E839C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rFonts w:hint="cs"/>
                <w:sz w:val="26"/>
                <w:rtl/>
              </w:rPr>
              <w:t>(א)</w:t>
            </w:r>
            <w:r w:rsidRPr="002E56F6">
              <w:rPr>
                <w:sz w:val="26"/>
                <w:rtl/>
              </w:rPr>
              <w:tab/>
              <w:t xml:space="preserve">עובדי הנציבות הם עובדי </w:t>
            </w:r>
            <w:r w:rsidRPr="002E56F6">
              <w:rPr>
                <w:rFonts w:hint="cs"/>
                <w:sz w:val="26"/>
                <w:rtl/>
              </w:rPr>
              <w:t>ה</w:t>
            </w:r>
            <w:r w:rsidRPr="002E56F6">
              <w:rPr>
                <w:sz w:val="26"/>
                <w:rtl/>
              </w:rPr>
              <w:t>מדינה</w:t>
            </w:r>
            <w:r w:rsidRPr="002E56F6">
              <w:rPr>
                <w:rFonts w:hint="cs"/>
                <w:sz w:val="26"/>
                <w:rtl/>
              </w:rPr>
              <w:t>.</w:t>
            </w:r>
          </w:p>
        </w:tc>
      </w:tr>
      <w:tr w:rsidR="006243D6" w:rsidRPr="002E56F6" w14:paraId="0B529ADE" w14:textId="77777777" w:rsidTr="006B7E67">
        <w:trPr>
          <w:cantSplit/>
        </w:trPr>
        <w:tc>
          <w:tcPr>
            <w:tcW w:w="1870" w:type="dxa"/>
          </w:tcPr>
          <w:p w14:paraId="5353124E" w14:textId="77777777" w:rsidR="006243D6" w:rsidRPr="002E56F6" w:rsidRDefault="006243D6" w:rsidP="006B7E67">
            <w:pPr>
              <w:pStyle w:val="TableSideHeading"/>
              <w:keepLines w:val="0"/>
              <w:rPr>
                <w:rFonts w:eastAsia="Times New Roman"/>
                <w:sz w:val="26"/>
                <w:rtl/>
                <w:lang w:eastAsia="en-US"/>
              </w:rPr>
            </w:pPr>
          </w:p>
        </w:tc>
        <w:tc>
          <w:tcPr>
            <w:tcW w:w="624" w:type="dxa"/>
          </w:tcPr>
          <w:p w14:paraId="34F21886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2"/>
          </w:tcPr>
          <w:p w14:paraId="46A38C85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rFonts w:hint="cs"/>
                <w:sz w:val="26"/>
                <w:rtl/>
              </w:rPr>
              <w:t>(ב)</w:t>
            </w:r>
            <w:r w:rsidRPr="002E56F6">
              <w:rPr>
                <w:sz w:val="26"/>
                <w:rtl/>
              </w:rPr>
              <w:tab/>
              <w:t>עובדי הנציבות יקבלו הוראות בענייני ביקורת מהנציב בלבד</w:t>
            </w:r>
            <w:r w:rsidRPr="002E56F6">
              <w:rPr>
                <w:rFonts w:hint="cs"/>
                <w:sz w:val="26"/>
                <w:rtl/>
              </w:rPr>
              <w:t>.</w:t>
            </w:r>
          </w:p>
        </w:tc>
      </w:tr>
      <w:tr w:rsidR="006243D6" w:rsidRPr="002E56F6" w14:paraId="41F2F978" w14:textId="77777777" w:rsidTr="006B7E67">
        <w:trPr>
          <w:cantSplit/>
        </w:trPr>
        <w:tc>
          <w:tcPr>
            <w:tcW w:w="1870" w:type="dxa"/>
          </w:tcPr>
          <w:p w14:paraId="7B0BF43C" w14:textId="77777777" w:rsidR="006243D6" w:rsidRPr="002E56F6" w:rsidRDefault="006243D6" w:rsidP="006B7E67">
            <w:pPr>
              <w:pStyle w:val="TableSideHeading"/>
              <w:keepLines w:val="0"/>
              <w:rPr>
                <w:rFonts w:eastAsia="Times New Roman"/>
                <w:sz w:val="26"/>
                <w:rtl/>
                <w:lang w:eastAsia="en-US"/>
              </w:rPr>
            </w:pPr>
            <w:r w:rsidRPr="002E56F6">
              <w:rPr>
                <w:rFonts w:eastAsia="Times New Roman"/>
                <w:sz w:val="26"/>
                <w:rtl/>
                <w:lang w:eastAsia="en-US"/>
              </w:rPr>
              <w:lastRenderedPageBreak/>
              <w:t>סמכות קבלת מסמכים ומידע</w:t>
            </w:r>
          </w:p>
        </w:tc>
        <w:tc>
          <w:tcPr>
            <w:tcW w:w="624" w:type="dxa"/>
          </w:tcPr>
          <w:p w14:paraId="14A5ADD7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  <w:r w:rsidRPr="002E56F6">
              <w:rPr>
                <w:rFonts w:hint="cs"/>
                <w:sz w:val="26"/>
                <w:rtl/>
              </w:rPr>
              <w:t>12.</w:t>
            </w:r>
          </w:p>
        </w:tc>
        <w:tc>
          <w:tcPr>
            <w:tcW w:w="7144" w:type="dxa"/>
            <w:gridSpan w:val="2"/>
          </w:tcPr>
          <w:p w14:paraId="330AD750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(א)</w:t>
            </w:r>
            <w:r w:rsidRPr="002E56F6">
              <w:rPr>
                <w:sz w:val="26"/>
                <w:rtl/>
              </w:rPr>
              <w:tab/>
              <w:t>לנציב יהיו כל הסמכויות כאמור בסעיף 26 לחוק מבקר המדינה,</w:t>
            </w:r>
            <w:r w:rsidRPr="002E56F6">
              <w:rPr>
                <w:rFonts w:hint="cs"/>
                <w:sz w:val="26"/>
                <w:rtl/>
              </w:rPr>
              <w:t xml:space="preserve"> </w:t>
            </w:r>
            <w:proofErr w:type="spellStart"/>
            <w:r w:rsidRPr="002E56F6">
              <w:rPr>
                <w:sz w:val="26"/>
                <w:rtl/>
              </w:rPr>
              <w:t>התשי"ח</w:t>
            </w:r>
            <w:proofErr w:type="spellEnd"/>
            <w:r w:rsidRPr="002E56F6">
              <w:rPr>
                <w:sz w:val="26"/>
                <w:rtl/>
              </w:rPr>
              <w:t>–</w:t>
            </w:r>
            <w:r w:rsidRPr="002E56F6">
              <w:rPr>
                <w:rFonts w:hint="cs"/>
                <w:sz w:val="26"/>
                <w:rtl/>
              </w:rPr>
              <w:t xml:space="preserve"> </w:t>
            </w:r>
            <w:r w:rsidRPr="002E56F6">
              <w:rPr>
                <w:sz w:val="26"/>
                <w:rtl/>
              </w:rPr>
              <w:t>1958</w:t>
            </w:r>
            <w:r w:rsidRPr="002E56F6">
              <w:rPr>
                <w:rFonts w:hint="cs"/>
                <w:sz w:val="26"/>
                <w:rtl/>
              </w:rPr>
              <w:t xml:space="preserve"> [נוסח משולב]</w:t>
            </w:r>
            <w:r w:rsidRPr="002E56F6">
              <w:rPr>
                <w:szCs w:val="20"/>
                <w:rtl/>
              </w:rPr>
              <w:footnoteReference w:id="5"/>
            </w:r>
            <w:r w:rsidRPr="002E56F6">
              <w:rPr>
                <w:rFonts w:hint="cs"/>
                <w:sz w:val="26"/>
                <w:rtl/>
              </w:rPr>
              <w:t>.</w:t>
            </w:r>
          </w:p>
        </w:tc>
      </w:tr>
      <w:tr w:rsidR="006243D6" w:rsidRPr="002E56F6" w14:paraId="2CD4B5A2" w14:textId="77777777" w:rsidTr="006B7E67">
        <w:trPr>
          <w:cantSplit/>
        </w:trPr>
        <w:tc>
          <w:tcPr>
            <w:tcW w:w="1870" w:type="dxa"/>
          </w:tcPr>
          <w:p w14:paraId="21594F88" w14:textId="77777777" w:rsidR="006243D6" w:rsidRPr="002E56F6" w:rsidRDefault="006243D6" w:rsidP="006B7E67">
            <w:pPr>
              <w:pStyle w:val="TableSideHeading"/>
              <w:keepLines w:val="0"/>
              <w:rPr>
                <w:rFonts w:eastAsia="Times New Roman"/>
                <w:sz w:val="26"/>
                <w:rtl/>
                <w:lang w:eastAsia="en-US"/>
              </w:rPr>
            </w:pPr>
          </w:p>
        </w:tc>
        <w:tc>
          <w:tcPr>
            <w:tcW w:w="624" w:type="dxa"/>
          </w:tcPr>
          <w:p w14:paraId="7A4CCD33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2"/>
          </w:tcPr>
          <w:p w14:paraId="6F691197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(ב)</w:t>
            </w:r>
            <w:r w:rsidRPr="002E56F6">
              <w:rPr>
                <w:sz w:val="26"/>
                <w:rtl/>
              </w:rPr>
              <w:tab/>
              <w:t>הנציב רשאי לקבל על פי דרישתו, כל מסמך וכל מידע שברשות</w:t>
            </w:r>
            <w:r w:rsidRPr="002E56F6">
              <w:rPr>
                <w:rFonts w:hint="cs"/>
                <w:sz w:val="26"/>
                <w:rtl/>
              </w:rPr>
              <w:t xml:space="preserve"> </w:t>
            </w:r>
            <w:r w:rsidRPr="002E56F6">
              <w:rPr>
                <w:sz w:val="26"/>
                <w:rtl/>
              </w:rPr>
              <w:t>הגוף המבוקר הנוגע לנושא שנבחן בנציבות</w:t>
            </w:r>
            <w:r w:rsidRPr="002E56F6">
              <w:rPr>
                <w:rFonts w:hint="cs"/>
                <w:sz w:val="26"/>
                <w:rtl/>
              </w:rPr>
              <w:t>;</w:t>
            </w:r>
            <w:r w:rsidRPr="002E56F6">
              <w:rPr>
                <w:sz w:val="26"/>
                <w:rtl/>
              </w:rPr>
              <w:t xml:space="preserve"> מי שנדרש למסור מסמך או מידע כאמור יהיה חייב למלא אחר הדרישה </w:t>
            </w:r>
            <w:r w:rsidRPr="002E56F6">
              <w:rPr>
                <w:rFonts w:hint="cs"/>
                <w:sz w:val="26"/>
                <w:rtl/>
              </w:rPr>
              <w:t>ב</w:t>
            </w:r>
            <w:r w:rsidRPr="002E56F6">
              <w:rPr>
                <w:sz w:val="26"/>
                <w:rtl/>
              </w:rPr>
              <w:t>תוך</w:t>
            </w:r>
            <w:r w:rsidRPr="002E56F6">
              <w:rPr>
                <w:rFonts w:hint="cs"/>
                <w:sz w:val="26"/>
                <w:rtl/>
              </w:rPr>
              <w:t xml:space="preserve"> </w:t>
            </w:r>
            <w:r w:rsidRPr="002E56F6">
              <w:rPr>
                <w:sz w:val="26"/>
                <w:rtl/>
              </w:rPr>
              <w:t>התקופה שנדרש לעשות כן ובאופן הקבוע בה.</w:t>
            </w:r>
          </w:p>
        </w:tc>
      </w:tr>
      <w:tr w:rsidR="006243D6" w:rsidRPr="002E56F6" w14:paraId="1CD29FDB" w14:textId="77777777" w:rsidTr="006B7E67">
        <w:trPr>
          <w:cantSplit/>
        </w:trPr>
        <w:tc>
          <w:tcPr>
            <w:tcW w:w="1870" w:type="dxa"/>
          </w:tcPr>
          <w:p w14:paraId="7748D15A" w14:textId="77777777" w:rsidR="006243D6" w:rsidRPr="002E56F6" w:rsidRDefault="006243D6" w:rsidP="006B7E67">
            <w:pPr>
              <w:pStyle w:val="TableSideHeading"/>
              <w:keepLines w:val="0"/>
              <w:rPr>
                <w:rFonts w:eastAsia="Times New Roman"/>
                <w:sz w:val="26"/>
                <w:rtl/>
                <w:lang w:eastAsia="en-US"/>
              </w:rPr>
            </w:pPr>
          </w:p>
        </w:tc>
        <w:tc>
          <w:tcPr>
            <w:tcW w:w="624" w:type="dxa"/>
          </w:tcPr>
          <w:p w14:paraId="3F94712A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2"/>
          </w:tcPr>
          <w:p w14:paraId="3CC641AF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(ג)</w:t>
            </w:r>
            <w:r w:rsidRPr="002E56F6">
              <w:rPr>
                <w:sz w:val="26"/>
                <w:rtl/>
              </w:rPr>
              <w:tab/>
              <w:t>לנציב תהיה גישה מלאה</w:t>
            </w:r>
            <w:r w:rsidRPr="002E56F6">
              <w:rPr>
                <w:rFonts w:hint="cs"/>
                <w:sz w:val="26"/>
                <w:rtl/>
              </w:rPr>
              <w:t>,</w:t>
            </w:r>
            <w:r w:rsidRPr="002E56F6">
              <w:rPr>
                <w:sz w:val="26"/>
                <w:rtl/>
              </w:rPr>
              <w:t xml:space="preserve"> לצורך ביצוע תפקידו, לכל מקום</w:t>
            </w:r>
            <w:r w:rsidRPr="002E56F6">
              <w:rPr>
                <w:rFonts w:hint="cs"/>
                <w:sz w:val="26"/>
                <w:rtl/>
              </w:rPr>
              <w:t xml:space="preserve"> ו</w:t>
            </w:r>
            <w:r w:rsidRPr="002E56F6">
              <w:rPr>
                <w:sz w:val="26"/>
                <w:rtl/>
              </w:rPr>
              <w:t>לכל</w:t>
            </w:r>
            <w:r w:rsidRPr="002E56F6">
              <w:rPr>
                <w:rFonts w:hint="cs"/>
                <w:sz w:val="26"/>
                <w:rtl/>
              </w:rPr>
              <w:t xml:space="preserve"> </w:t>
            </w:r>
            <w:r w:rsidRPr="002E56F6">
              <w:rPr>
                <w:sz w:val="26"/>
                <w:rtl/>
              </w:rPr>
              <w:t>מאגר רגיל או ממוחשב של הגוף המבוקר.</w:t>
            </w:r>
          </w:p>
        </w:tc>
      </w:tr>
      <w:tr w:rsidR="006243D6" w:rsidRPr="002E56F6" w14:paraId="66B70EB0" w14:textId="77777777" w:rsidTr="006B7E67">
        <w:trPr>
          <w:cantSplit/>
        </w:trPr>
        <w:tc>
          <w:tcPr>
            <w:tcW w:w="1870" w:type="dxa"/>
          </w:tcPr>
          <w:p w14:paraId="574B60C2" w14:textId="77777777" w:rsidR="006243D6" w:rsidRPr="002E56F6" w:rsidRDefault="006243D6" w:rsidP="006B7E67">
            <w:pPr>
              <w:pStyle w:val="TableSideHeading"/>
              <w:keepLines w:val="0"/>
              <w:rPr>
                <w:rFonts w:eastAsia="Times New Roman"/>
                <w:sz w:val="26"/>
                <w:rtl/>
                <w:lang w:eastAsia="en-US"/>
              </w:rPr>
            </w:pPr>
          </w:p>
        </w:tc>
        <w:tc>
          <w:tcPr>
            <w:tcW w:w="624" w:type="dxa"/>
          </w:tcPr>
          <w:p w14:paraId="01CBE845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2"/>
          </w:tcPr>
          <w:p w14:paraId="069A40DD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(ד)</w:t>
            </w:r>
            <w:r w:rsidRPr="002E56F6">
              <w:rPr>
                <w:sz w:val="26"/>
                <w:rtl/>
              </w:rPr>
              <w:tab/>
              <w:t>באשר למידע החסוי על פי דין שברשות הגופים המבוקרים, יחולו</w:t>
            </w:r>
            <w:r w:rsidRPr="002E56F6">
              <w:rPr>
                <w:rFonts w:hint="cs"/>
                <w:sz w:val="26"/>
                <w:rtl/>
              </w:rPr>
              <w:t xml:space="preserve"> </w:t>
            </w:r>
            <w:r w:rsidRPr="002E56F6">
              <w:rPr>
                <w:sz w:val="26"/>
                <w:rtl/>
              </w:rPr>
              <w:t>על הנציב המגבלות הקבועות בדין לגבי המורשים לקבל מידע</w:t>
            </w:r>
            <w:r w:rsidRPr="002E56F6">
              <w:rPr>
                <w:rFonts w:hint="cs"/>
                <w:sz w:val="26"/>
                <w:rtl/>
              </w:rPr>
              <w:t xml:space="preserve"> </w:t>
            </w:r>
            <w:r w:rsidRPr="002E56F6">
              <w:rPr>
                <w:sz w:val="26"/>
                <w:rtl/>
              </w:rPr>
              <w:t>כזה.</w:t>
            </w:r>
          </w:p>
        </w:tc>
      </w:tr>
      <w:tr w:rsidR="006243D6" w:rsidRPr="002E56F6" w14:paraId="70CD0248" w14:textId="77777777" w:rsidTr="006B7E67">
        <w:trPr>
          <w:cantSplit/>
        </w:trPr>
        <w:tc>
          <w:tcPr>
            <w:tcW w:w="1870" w:type="dxa"/>
          </w:tcPr>
          <w:p w14:paraId="17BB73CF" w14:textId="77777777" w:rsidR="006243D6" w:rsidRPr="002E56F6" w:rsidRDefault="006243D6" w:rsidP="006B7E67">
            <w:pPr>
              <w:pStyle w:val="TableSideHeading"/>
              <w:keepLines w:val="0"/>
              <w:rPr>
                <w:rFonts w:eastAsia="Times New Roman"/>
                <w:sz w:val="26"/>
                <w:rtl/>
                <w:lang w:eastAsia="en-US"/>
              </w:rPr>
            </w:pPr>
          </w:p>
        </w:tc>
        <w:tc>
          <w:tcPr>
            <w:tcW w:w="624" w:type="dxa"/>
          </w:tcPr>
          <w:p w14:paraId="0D569CC0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2"/>
          </w:tcPr>
          <w:p w14:paraId="4EC82F57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(ה)</w:t>
            </w:r>
            <w:r w:rsidRPr="002E56F6">
              <w:rPr>
                <w:sz w:val="26"/>
                <w:rtl/>
              </w:rPr>
              <w:tab/>
              <w:t>סמכות שהוקנתה בסעיף זה לנציב וחובה שהוטלה עליו, יחולו גם</w:t>
            </w:r>
            <w:r w:rsidRPr="002E56F6">
              <w:rPr>
                <w:rFonts w:hint="cs"/>
                <w:sz w:val="26"/>
                <w:rtl/>
              </w:rPr>
              <w:t xml:space="preserve"> </w:t>
            </w:r>
            <w:r w:rsidRPr="002E56F6">
              <w:rPr>
                <w:sz w:val="26"/>
                <w:rtl/>
              </w:rPr>
              <w:t>על עובדי הנציבות ועל כל אדם הפועל מטעם הנציבות.</w:t>
            </w:r>
          </w:p>
        </w:tc>
      </w:tr>
      <w:tr w:rsidR="006243D6" w:rsidRPr="002E56F6" w14:paraId="7D564C11" w14:textId="77777777" w:rsidTr="006B7E67">
        <w:trPr>
          <w:cantSplit/>
        </w:trPr>
        <w:tc>
          <w:tcPr>
            <w:tcW w:w="1870" w:type="dxa"/>
          </w:tcPr>
          <w:p w14:paraId="03DD70A8" w14:textId="77777777" w:rsidR="006243D6" w:rsidRPr="002E56F6" w:rsidRDefault="006243D6" w:rsidP="006B7E67">
            <w:pPr>
              <w:pStyle w:val="TableSideHeading"/>
              <w:ind w:right="0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חובת סודיות וגילוי מסמכים</w:t>
            </w:r>
          </w:p>
        </w:tc>
        <w:tc>
          <w:tcPr>
            <w:tcW w:w="624" w:type="dxa"/>
          </w:tcPr>
          <w:p w14:paraId="6137911B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  <w:r w:rsidRPr="002E56F6">
              <w:rPr>
                <w:rFonts w:hint="cs"/>
                <w:sz w:val="26"/>
                <w:rtl/>
              </w:rPr>
              <w:t>13.</w:t>
            </w:r>
          </w:p>
        </w:tc>
        <w:tc>
          <w:tcPr>
            <w:tcW w:w="7144" w:type="dxa"/>
            <w:gridSpan w:val="2"/>
          </w:tcPr>
          <w:p w14:paraId="2BC69BDE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(א)</w:t>
            </w:r>
            <w:r w:rsidRPr="002E56F6">
              <w:rPr>
                <w:sz w:val="26"/>
                <w:rtl/>
              </w:rPr>
              <w:tab/>
              <w:t>הנציב, עובדי הנציבות, יועצים חיצוניים לנציבות וכל אדם אחר</w:t>
            </w:r>
            <w:r w:rsidRPr="002E56F6">
              <w:rPr>
                <w:rFonts w:hint="cs"/>
                <w:sz w:val="26"/>
                <w:rtl/>
              </w:rPr>
              <w:t xml:space="preserve"> </w:t>
            </w:r>
            <w:r w:rsidRPr="002E56F6">
              <w:rPr>
                <w:sz w:val="26"/>
                <w:rtl/>
              </w:rPr>
              <w:t>שבעזרתו מבצע הנציב את תפקידיו, ישמרו בסוד כל ידיעה שהגיעה אליהם עקב עבודתם, לא יעשו בה שימוש ולא יגלו אותה לאחר, אלא לשם ביצוע תפקידם לפי חוק זה; מי שאינו עובד הנציבות יחתום על כתב שמירה על סודיות עם תחילת עבודתו.</w:t>
            </w:r>
          </w:p>
        </w:tc>
      </w:tr>
      <w:tr w:rsidR="006243D6" w:rsidRPr="002E56F6" w14:paraId="53DCA60C" w14:textId="77777777" w:rsidTr="006B7E67">
        <w:trPr>
          <w:cantSplit/>
        </w:trPr>
        <w:tc>
          <w:tcPr>
            <w:tcW w:w="1870" w:type="dxa"/>
          </w:tcPr>
          <w:p w14:paraId="72B11FC2" w14:textId="77777777" w:rsidR="006243D6" w:rsidRPr="002E56F6" w:rsidRDefault="006243D6" w:rsidP="006B7E67">
            <w:pPr>
              <w:pStyle w:val="TableSideHeading"/>
              <w:ind w:right="0"/>
              <w:rPr>
                <w:sz w:val="26"/>
                <w:rtl/>
              </w:rPr>
            </w:pPr>
          </w:p>
        </w:tc>
        <w:tc>
          <w:tcPr>
            <w:tcW w:w="624" w:type="dxa"/>
          </w:tcPr>
          <w:p w14:paraId="101C51C9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2"/>
          </w:tcPr>
          <w:p w14:paraId="297A4CAF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(ב)</w:t>
            </w:r>
            <w:r w:rsidRPr="002E56F6">
              <w:rPr>
                <w:sz w:val="26"/>
                <w:rtl/>
              </w:rPr>
              <w:tab/>
              <w:t>מסמכים ועדויות שיימסרו לנציבות על ידי גופים מבוקרים לא</w:t>
            </w:r>
            <w:r w:rsidRPr="002E56F6">
              <w:rPr>
                <w:rFonts w:hint="cs"/>
                <w:sz w:val="26"/>
                <w:rtl/>
              </w:rPr>
              <w:t xml:space="preserve"> </w:t>
            </w:r>
            <w:r w:rsidRPr="002E56F6">
              <w:rPr>
                <w:sz w:val="26"/>
                <w:rtl/>
              </w:rPr>
              <w:t>יגולו ולא יועברו על ידי הנציבות ומי מטעמה לגורם אחר, למעט</w:t>
            </w:r>
            <w:r w:rsidRPr="002E56F6">
              <w:rPr>
                <w:rFonts w:hint="cs"/>
                <w:sz w:val="26"/>
                <w:rtl/>
              </w:rPr>
              <w:t xml:space="preserve"> </w:t>
            </w:r>
            <w:r w:rsidRPr="002E56F6">
              <w:rPr>
                <w:sz w:val="26"/>
                <w:rtl/>
              </w:rPr>
              <w:t>במקרים שנדרש הדבר על פי דין.</w:t>
            </w:r>
          </w:p>
        </w:tc>
      </w:tr>
      <w:tr w:rsidR="006243D6" w:rsidRPr="002E56F6" w14:paraId="37CA011D" w14:textId="77777777" w:rsidTr="006B7E67">
        <w:trPr>
          <w:cantSplit/>
        </w:trPr>
        <w:tc>
          <w:tcPr>
            <w:tcW w:w="1870" w:type="dxa"/>
          </w:tcPr>
          <w:p w14:paraId="52DAF758" w14:textId="77777777" w:rsidR="006243D6" w:rsidRPr="002E56F6" w:rsidRDefault="006243D6" w:rsidP="006B7E67">
            <w:pPr>
              <w:pStyle w:val="TableSideHeading"/>
              <w:ind w:right="0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ביקורת מערכתית</w:t>
            </w:r>
          </w:p>
        </w:tc>
        <w:tc>
          <w:tcPr>
            <w:tcW w:w="624" w:type="dxa"/>
          </w:tcPr>
          <w:p w14:paraId="354FD4C5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  <w:r w:rsidRPr="002E56F6">
              <w:rPr>
                <w:rFonts w:hint="cs"/>
                <w:sz w:val="26"/>
                <w:rtl/>
              </w:rPr>
              <w:t>14.</w:t>
            </w:r>
          </w:p>
        </w:tc>
        <w:tc>
          <w:tcPr>
            <w:tcW w:w="7144" w:type="dxa"/>
            <w:gridSpan w:val="2"/>
          </w:tcPr>
          <w:p w14:paraId="52A24F53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לא קיים עובד גוף מבוקר את האמור בחוק זה, יהווה הדבר עבירת משמעת לפי הדין המשמעתי החל באותו גוף מבוקר.</w:t>
            </w:r>
          </w:p>
        </w:tc>
      </w:tr>
      <w:tr w:rsidR="006243D6" w:rsidRPr="002E56F6" w14:paraId="4C54515C" w14:textId="77777777" w:rsidTr="006B7E67">
        <w:trPr>
          <w:cantSplit/>
        </w:trPr>
        <w:tc>
          <w:tcPr>
            <w:tcW w:w="1870" w:type="dxa"/>
          </w:tcPr>
          <w:p w14:paraId="5B9986D5" w14:textId="77777777" w:rsidR="006243D6" w:rsidRPr="002E56F6" w:rsidRDefault="006243D6" w:rsidP="006B7E67">
            <w:pPr>
              <w:pStyle w:val="TableSideHeading"/>
              <w:ind w:right="0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הגשת תלונה</w:t>
            </w:r>
          </w:p>
        </w:tc>
        <w:tc>
          <w:tcPr>
            <w:tcW w:w="624" w:type="dxa"/>
          </w:tcPr>
          <w:p w14:paraId="2BD6764B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  <w:r w:rsidRPr="002E56F6">
              <w:rPr>
                <w:rFonts w:hint="cs"/>
                <w:sz w:val="26"/>
                <w:rtl/>
              </w:rPr>
              <w:t>15.</w:t>
            </w:r>
          </w:p>
        </w:tc>
        <w:tc>
          <w:tcPr>
            <w:tcW w:w="7144" w:type="dxa"/>
            <w:gridSpan w:val="2"/>
          </w:tcPr>
          <w:p w14:paraId="5D84D7B6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(א)</w:t>
            </w:r>
            <w:r w:rsidRPr="002E56F6">
              <w:rPr>
                <w:sz w:val="26"/>
                <w:rtl/>
              </w:rPr>
              <w:tab/>
              <w:t>כל הרואה עצמו נפגע בשל התנהגות מי מהגופים המבוקרים, במסגרת מילוי תפקידם, רשאי להגיש תלונה לנציבות; לעניין</w:t>
            </w:r>
            <w:r w:rsidRPr="002E56F6">
              <w:rPr>
                <w:rFonts w:hint="cs"/>
                <w:sz w:val="26"/>
                <w:rtl/>
              </w:rPr>
              <w:t xml:space="preserve"> </w:t>
            </w:r>
            <w:r w:rsidRPr="002E56F6">
              <w:rPr>
                <w:sz w:val="26"/>
                <w:rtl/>
              </w:rPr>
              <w:t>סעיף</w:t>
            </w:r>
            <w:r w:rsidRPr="002E56F6">
              <w:rPr>
                <w:rFonts w:hint="cs"/>
                <w:sz w:val="26"/>
                <w:rtl/>
              </w:rPr>
              <w:t xml:space="preserve"> </w:t>
            </w:r>
            <w:r w:rsidRPr="002E56F6">
              <w:rPr>
                <w:sz w:val="26"/>
                <w:rtl/>
              </w:rPr>
              <w:t>זה</w:t>
            </w:r>
            <w:r w:rsidRPr="002E56F6">
              <w:rPr>
                <w:rFonts w:hint="cs"/>
                <w:sz w:val="26"/>
                <w:rtl/>
              </w:rPr>
              <w:t>,</w:t>
            </w:r>
            <w:r w:rsidRPr="002E56F6">
              <w:rPr>
                <w:sz w:val="26"/>
                <w:rtl/>
              </w:rPr>
              <w:t xml:space="preserve"> "נפגע"</w:t>
            </w:r>
            <w:r w:rsidRPr="002E56F6">
              <w:rPr>
                <w:rFonts w:hint="cs"/>
                <w:sz w:val="26"/>
                <w:rtl/>
              </w:rPr>
              <w:t xml:space="preserve"> </w:t>
            </w:r>
            <w:r w:rsidRPr="002E56F6">
              <w:rPr>
                <w:sz w:val="26"/>
                <w:rtl/>
              </w:rPr>
              <w:t>–  בין פגיעה אישית ובין פגיעה כתוצאה מפגיעה באינטרס ציבורי.</w:t>
            </w:r>
          </w:p>
        </w:tc>
      </w:tr>
      <w:tr w:rsidR="006243D6" w:rsidRPr="002E56F6" w14:paraId="63CC8F0C" w14:textId="77777777" w:rsidTr="006B7E67">
        <w:trPr>
          <w:cantSplit/>
        </w:trPr>
        <w:tc>
          <w:tcPr>
            <w:tcW w:w="1870" w:type="dxa"/>
          </w:tcPr>
          <w:p w14:paraId="59C21402" w14:textId="77777777" w:rsidR="006243D6" w:rsidRPr="002E56F6" w:rsidRDefault="006243D6" w:rsidP="006B7E67">
            <w:pPr>
              <w:pStyle w:val="TableSideHeading"/>
              <w:ind w:right="0"/>
              <w:rPr>
                <w:sz w:val="26"/>
                <w:rtl/>
              </w:rPr>
            </w:pPr>
          </w:p>
        </w:tc>
        <w:tc>
          <w:tcPr>
            <w:tcW w:w="624" w:type="dxa"/>
          </w:tcPr>
          <w:p w14:paraId="0586658D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2"/>
          </w:tcPr>
          <w:p w14:paraId="0FF27704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(ב)</w:t>
            </w:r>
            <w:r w:rsidRPr="002E56F6">
              <w:rPr>
                <w:sz w:val="26"/>
                <w:rtl/>
              </w:rPr>
              <w:tab/>
              <w:t>התלונה תוגש בכתב.</w:t>
            </w:r>
          </w:p>
        </w:tc>
      </w:tr>
      <w:tr w:rsidR="006243D6" w:rsidRPr="002E56F6" w14:paraId="1F6FF60F" w14:textId="77777777" w:rsidTr="006B7E67">
        <w:trPr>
          <w:cantSplit/>
        </w:trPr>
        <w:tc>
          <w:tcPr>
            <w:tcW w:w="1870" w:type="dxa"/>
          </w:tcPr>
          <w:p w14:paraId="39989AD9" w14:textId="77777777" w:rsidR="006243D6" w:rsidRPr="002E56F6" w:rsidRDefault="006243D6" w:rsidP="006B7E67">
            <w:pPr>
              <w:pStyle w:val="TableSideHeading"/>
              <w:ind w:right="0"/>
              <w:rPr>
                <w:sz w:val="26"/>
                <w:rtl/>
              </w:rPr>
            </w:pPr>
          </w:p>
        </w:tc>
        <w:tc>
          <w:tcPr>
            <w:tcW w:w="624" w:type="dxa"/>
          </w:tcPr>
          <w:p w14:paraId="2E79485B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2"/>
          </w:tcPr>
          <w:p w14:paraId="7DD99682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(ג)</w:t>
            </w:r>
            <w:r w:rsidRPr="002E56F6">
              <w:rPr>
                <w:sz w:val="26"/>
                <w:rtl/>
              </w:rPr>
              <w:tab/>
              <w:t>התלונה תיחתם בידי המתלונן או בא כוחו ויצוינו בה שם</w:t>
            </w:r>
            <w:r w:rsidRPr="002E56F6">
              <w:rPr>
                <w:rFonts w:hint="cs"/>
                <w:sz w:val="26"/>
                <w:rtl/>
              </w:rPr>
              <w:t xml:space="preserve"> </w:t>
            </w:r>
            <w:r w:rsidRPr="002E56F6">
              <w:rPr>
                <w:sz w:val="26"/>
                <w:rtl/>
              </w:rPr>
              <w:t>המתלונן, מספר תעודת הזהות, מע</w:t>
            </w:r>
            <w:r w:rsidRPr="002E56F6">
              <w:rPr>
                <w:rFonts w:hint="cs"/>
                <w:sz w:val="26"/>
                <w:rtl/>
              </w:rPr>
              <w:t>ו</w:t>
            </w:r>
            <w:r w:rsidRPr="002E56F6">
              <w:rPr>
                <w:sz w:val="26"/>
                <w:rtl/>
              </w:rPr>
              <w:t>נו ודרכי ההתקשרות עמו.</w:t>
            </w:r>
          </w:p>
        </w:tc>
      </w:tr>
      <w:tr w:rsidR="006243D6" w:rsidRPr="002E56F6" w14:paraId="692CF84D" w14:textId="77777777" w:rsidTr="006B7E67">
        <w:trPr>
          <w:cantSplit/>
        </w:trPr>
        <w:tc>
          <w:tcPr>
            <w:tcW w:w="1870" w:type="dxa"/>
          </w:tcPr>
          <w:p w14:paraId="253F689B" w14:textId="77777777" w:rsidR="006243D6" w:rsidRPr="002E56F6" w:rsidRDefault="006243D6" w:rsidP="006B7E67">
            <w:pPr>
              <w:pStyle w:val="TableSideHeading"/>
              <w:ind w:right="0"/>
              <w:rPr>
                <w:sz w:val="26"/>
                <w:rtl/>
              </w:rPr>
            </w:pPr>
          </w:p>
        </w:tc>
        <w:tc>
          <w:tcPr>
            <w:tcW w:w="624" w:type="dxa"/>
          </w:tcPr>
          <w:p w14:paraId="0C9CBCE8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2"/>
          </w:tcPr>
          <w:p w14:paraId="7407C567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(ד)</w:t>
            </w:r>
            <w:r w:rsidRPr="002E56F6">
              <w:rPr>
                <w:sz w:val="26"/>
                <w:rtl/>
              </w:rPr>
              <w:tab/>
              <w:t>המתלונן יציין בתלונה אם פנה לגופי ביקורת אחרים באותו נושא.</w:t>
            </w:r>
          </w:p>
        </w:tc>
      </w:tr>
      <w:tr w:rsidR="006243D6" w:rsidRPr="002E56F6" w14:paraId="04FA274B" w14:textId="77777777" w:rsidTr="006B7E67">
        <w:trPr>
          <w:cantSplit/>
        </w:trPr>
        <w:tc>
          <w:tcPr>
            <w:tcW w:w="1870" w:type="dxa"/>
          </w:tcPr>
          <w:p w14:paraId="7D3E93C9" w14:textId="77777777" w:rsidR="006243D6" w:rsidRPr="002E56F6" w:rsidRDefault="006243D6" w:rsidP="006B7E67">
            <w:pPr>
              <w:pStyle w:val="TableSideHeading"/>
              <w:ind w:right="0"/>
              <w:rPr>
                <w:sz w:val="26"/>
                <w:rtl/>
              </w:rPr>
            </w:pPr>
          </w:p>
        </w:tc>
        <w:tc>
          <w:tcPr>
            <w:tcW w:w="624" w:type="dxa"/>
          </w:tcPr>
          <w:p w14:paraId="64B882D9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144" w:type="dxa"/>
            <w:gridSpan w:val="2"/>
          </w:tcPr>
          <w:p w14:paraId="1580B05A" w14:textId="596086B2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(ה)</w:t>
            </w:r>
            <w:r w:rsidRPr="002E56F6">
              <w:rPr>
                <w:sz w:val="26"/>
                <w:rtl/>
              </w:rPr>
              <w:tab/>
              <w:t xml:space="preserve">תלונה של אדם כאמור </w:t>
            </w:r>
            <w:proofErr w:type="spellStart"/>
            <w:r w:rsidRPr="002E56F6">
              <w:rPr>
                <w:sz w:val="26"/>
                <w:rtl/>
              </w:rPr>
              <w:t>בפיסקאות</w:t>
            </w:r>
            <w:proofErr w:type="spellEnd"/>
            <w:r w:rsidRPr="002E56F6">
              <w:rPr>
                <w:sz w:val="26"/>
                <w:rtl/>
              </w:rPr>
              <w:t xml:space="preserve"> (1) עד (3) להלן</w:t>
            </w:r>
            <w:r w:rsidRPr="002E56F6">
              <w:rPr>
                <w:rFonts w:hint="cs"/>
                <w:sz w:val="26"/>
                <w:rtl/>
              </w:rPr>
              <w:t xml:space="preserve"> </w:t>
            </w:r>
            <w:r w:rsidRPr="002E56F6">
              <w:rPr>
                <w:sz w:val="26"/>
                <w:rtl/>
              </w:rPr>
              <w:t>תוגש במעטפה</w:t>
            </w:r>
            <w:r w:rsidRPr="002E56F6">
              <w:rPr>
                <w:rFonts w:hint="cs"/>
                <w:sz w:val="26"/>
                <w:rtl/>
              </w:rPr>
              <w:t xml:space="preserve"> </w:t>
            </w:r>
            <w:r w:rsidRPr="002E56F6">
              <w:rPr>
                <w:sz w:val="26"/>
                <w:rtl/>
              </w:rPr>
              <w:t xml:space="preserve">סגורה למי </w:t>
            </w:r>
            <w:r w:rsidRPr="002E56F6">
              <w:rPr>
                <w:rFonts w:hint="cs"/>
                <w:sz w:val="26"/>
                <w:rtl/>
              </w:rPr>
              <w:t>שהוסמך</w:t>
            </w:r>
            <w:r w:rsidRPr="002E56F6">
              <w:rPr>
                <w:sz w:val="26"/>
                <w:rtl/>
              </w:rPr>
              <w:t xml:space="preserve"> לעניין</w:t>
            </w:r>
            <w:r w:rsidRPr="002E56F6">
              <w:rPr>
                <w:rFonts w:hint="cs"/>
                <w:sz w:val="26"/>
                <w:rtl/>
              </w:rPr>
              <w:t>,</w:t>
            </w:r>
            <w:r w:rsidRPr="002E56F6">
              <w:rPr>
                <w:sz w:val="26"/>
                <w:rtl/>
              </w:rPr>
              <w:t xml:space="preserve"> והוא יעבירה בלי לפתחה אל הנציב:</w:t>
            </w:r>
          </w:p>
        </w:tc>
      </w:tr>
      <w:tr w:rsidR="006243D6" w:rsidRPr="002E56F6" w14:paraId="1066E1DB" w14:textId="77777777" w:rsidTr="006B7E67">
        <w:trPr>
          <w:cantSplit/>
        </w:trPr>
        <w:tc>
          <w:tcPr>
            <w:tcW w:w="1870" w:type="dxa"/>
          </w:tcPr>
          <w:p w14:paraId="0BC21D60" w14:textId="77777777" w:rsidR="006243D6" w:rsidRPr="002E56F6" w:rsidRDefault="006243D6" w:rsidP="006B7E67">
            <w:pPr>
              <w:pStyle w:val="TableSideHeading"/>
              <w:rPr>
                <w:sz w:val="26"/>
              </w:rPr>
            </w:pPr>
          </w:p>
        </w:tc>
        <w:tc>
          <w:tcPr>
            <w:tcW w:w="624" w:type="dxa"/>
          </w:tcPr>
          <w:p w14:paraId="30ED9709" w14:textId="77777777" w:rsidR="006243D6" w:rsidRPr="002E56F6" w:rsidRDefault="006243D6" w:rsidP="006B7E67">
            <w:pPr>
              <w:pStyle w:val="TableText"/>
              <w:rPr>
                <w:sz w:val="26"/>
              </w:rPr>
            </w:pPr>
          </w:p>
        </w:tc>
        <w:tc>
          <w:tcPr>
            <w:tcW w:w="624" w:type="dxa"/>
          </w:tcPr>
          <w:p w14:paraId="25C7FFB9" w14:textId="77777777" w:rsidR="006243D6" w:rsidRPr="002E56F6" w:rsidRDefault="006243D6" w:rsidP="006B7E67">
            <w:pPr>
              <w:pStyle w:val="TableText"/>
              <w:jc w:val="both"/>
              <w:rPr>
                <w:sz w:val="26"/>
              </w:rPr>
            </w:pPr>
          </w:p>
        </w:tc>
        <w:tc>
          <w:tcPr>
            <w:tcW w:w="6520" w:type="dxa"/>
          </w:tcPr>
          <w:p w14:paraId="04AA32AE" w14:textId="77777777" w:rsidR="006243D6" w:rsidRPr="002E56F6" w:rsidRDefault="006243D6" w:rsidP="006B7E67">
            <w:pPr>
              <w:pStyle w:val="TableBlock"/>
              <w:rPr>
                <w:sz w:val="26"/>
              </w:rPr>
            </w:pPr>
            <w:r w:rsidRPr="002E56F6">
              <w:rPr>
                <w:sz w:val="26"/>
                <w:rtl/>
              </w:rPr>
              <w:t>(1)</w:t>
            </w:r>
            <w:r w:rsidRPr="002E56F6">
              <w:rPr>
                <w:sz w:val="26"/>
                <w:rtl/>
              </w:rPr>
              <w:tab/>
              <w:t xml:space="preserve">אסיר כהגדרתו בפקודת בתי הסוהר [נוסח חדש], </w:t>
            </w:r>
            <w:proofErr w:type="spellStart"/>
            <w:r w:rsidRPr="002E56F6">
              <w:rPr>
                <w:sz w:val="26"/>
                <w:rtl/>
              </w:rPr>
              <w:t>התשל"ב</w:t>
            </w:r>
            <w:proofErr w:type="spellEnd"/>
            <w:r w:rsidRPr="002E56F6">
              <w:rPr>
                <w:sz w:val="26"/>
                <w:rtl/>
              </w:rPr>
              <w:t>–</w:t>
            </w:r>
            <w:r w:rsidRPr="002E56F6">
              <w:rPr>
                <w:rFonts w:hint="cs"/>
                <w:sz w:val="26"/>
                <w:rtl/>
              </w:rPr>
              <w:t>1971</w:t>
            </w:r>
            <w:r w:rsidRPr="002E56F6">
              <w:rPr>
                <w:rStyle w:val="a5"/>
                <w:sz w:val="26"/>
                <w:rtl/>
              </w:rPr>
              <w:footnoteReference w:id="6"/>
            </w:r>
            <w:r w:rsidRPr="002E56F6">
              <w:rPr>
                <w:rFonts w:hint="cs"/>
                <w:sz w:val="26"/>
                <w:rtl/>
              </w:rPr>
              <w:t xml:space="preserve"> (להלן</w:t>
            </w:r>
            <w:r w:rsidRPr="002E56F6">
              <w:rPr>
                <w:sz w:val="26"/>
                <w:rtl/>
              </w:rPr>
              <w:t>–</w:t>
            </w:r>
            <w:r w:rsidRPr="002E56F6">
              <w:rPr>
                <w:rFonts w:hint="cs"/>
                <w:sz w:val="26"/>
                <w:rtl/>
              </w:rPr>
              <w:t xml:space="preserve"> אסיר),</w:t>
            </w:r>
            <w:r w:rsidRPr="002E56F6">
              <w:rPr>
                <w:sz w:val="26"/>
                <w:rtl/>
              </w:rPr>
              <w:t xml:space="preserve"> למנהל בית הסוהר שבו הוא מוחזק;</w:t>
            </w:r>
          </w:p>
        </w:tc>
      </w:tr>
      <w:tr w:rsidR="006243D6" w:rsidRPr="002E56F6" w14:paraId="6DF80835" w14:textId="77777777" w:rsidTr="006B7E67">
        <w:trPr>
          <w:cantSplit/>
        </w:trPr>
        <w:tc>
          <w:tcPr>
            <w:tcW w:w="1870" w:type="dxa"/>
          </w:tcPr>
          <w:p w14:paraId="55F33B37" w14:textId="77777777" w:rsidR="006243D6" w:rsidRPr="002E56F6" w:rsidRDefault="006243D6" w:rsidP="006B7E67">
            <w:pPr>
              <w:pStyle w:val="TableSideHeading"/>
              <w:rPr>
                <w:sz w:val="26"/>
              </w:rPr>
            </w:pPr>
          </w:p>
        </w:tc>
        <w:tc>
          <w:tcPr>
            <w:tcW w:w="624" w:type="dxa"/>
          </w:tcPr>
          <w:p w14:paraId="6F3390B5" w14:textId="77777777" w:rsidR="006243D6" w:rsidRPr="002E56F6" w:rsidRDefault="006243D6" w:rsidP="006B7E67">
            <w:pPr>
              <w:pStyle w:val="TableText"/>
              <w:rPr>
                <w:sz w:val="26"/>
              </w:rPr>
            </w:pPr>
          </w:p>
        </w:tc>
        <w:tc>
          <w:tcPr>
            <w:tcW w:w="624" w:type="dxa"/>
          </w:tcPr>
          <w:p w14:paraId="284366E4" w14:textId="77777777" w:rsidR="006243D6" w:rsidRPr="002E56F6" w:rsidRDefault="006243D6" w:rsidP="006B7E67">
            <w:pPr>
              <w:pStyle w:val="TableText"/>
              <w:jc w:val="both"/>
              <w:rPr>
                <w:sz w:val="26"/>
              </w:rPr>
            </w:pPr>
          </w:p>
        </w:tc>
        <w:tc>
          <w:tcPr>
            <w:tcW w:w="6520" w:type="dxa"/>
          </w:tcPr>
          <w:p w14:paraId="3CCF0B79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(2)</w:t>
            </w:r>
            <w:r w:rsidRPr="002E56F6">
              <w:rPr>
                <w:sz w:val="26"/>
                <w:rtl/>
              </w:rPr>
              <w:tab/>
              <w:t>עצור כמשמעו בחוק סדר הדין הפלילי (סמכויות אכיפה</w:t>
            </w:r>
            <w:r w:rsidRPr="002E56F6">
              <w:rPr>
                <w:rFonts w:hint="cs"/>
                <w:sz w:val="26"/>
                <w:rtl/>
              </w:rPr>
              <w:t xml:space="preserve"> </w:t>
            </w:r>
            <w:r w:rsidRPr="002E56F6">
              <w:rPr>
                <w:sz w:val="26"/>
                <w:rtl/>
              </w:rPr>
              <w:t>–</w:t>
            </w:r>
            <w:r w:rsidRPr="002E56F6">
              <w:rPr>
                <w:rFonts w:hint="cs"/>
                <w:sz w:val="26"/>
                <w:rtl/>
              </w:rPr>
              <w:t xml:space="preserve"> </w:t>
            </w:r>
            <w:r w:rsidRPr="002E56F6">
              <w:rPr>
                <w:sz w:val="26"/>
                <w:rtl/>
              </w:rPr>
              <w:t>מעצרים)</w:t>
            </w:r>
            <w:r w:rsidRPr="002E56F6">
              <w:rPr>
                <w:rFonts w:hint="cs"/>
                <w:sz w:val="26"/>
                <w:rtl/>
              </w:rPr>
              <w:t xml:space="preserve">, </w:t>
            </w:r>
            <w:proofErr w:type="spellStart"/>
            <w:r w:rsidRPr="002E56F6">
              <w:rPr>
                <w:sz w:val="26"/>
                <w:rtl/>
              </w:rPr>
              <w:t>התשנ"ו</w:t>
            </w:r>
            <w:proofErr w:type="spellEnd"/>
            <w:r w:rsidRPr="002E56F6">
              <w:rPr>
                <w:sz w:val="26"/>
                <w:rtl/>
              </w:rPr>
              <w:t>–1996</w:t>
            </w:r>
            <w:r w:rsidRPr="002E56F6">
              <w:rPr>
                <w:rStyle w:val="a5"/>
                <w:sz w:val="26"/>
                <w:rtl/>
              </w:rPr>
              <w:footnoteReference w:id="7"/>
            </w:r>
            <w:r w:rsidRPr="002E56F6">
              <w:rPr>
                <w:rFonts w:hint="cs"/>
                <w:sz w:val="26"/>
                <w:rtl/>
              </w:rPr>
              <w:t>,</w:t>
            </w:r>
            <w:r w:rsidRPr="002E56F6">
              <w:rPr>
                <w:sz w:val="26"/>
                <w:rtl/>
              </w:rPr>
              <w:t xml:space="preserve"> או אסיר המוחזק בבית מעצר, למפקד בית המעצר שבו הוא מוחזק;</w:t>
            </w:r>
          </w:p>
        </w:tc>
      </w:tr>
      <w:tr w:rsidR="006243D6" w:rsidRPr="002E56F6" w14:paraId="2D920C52" w14:textId="77777777" w:rsidTr="006B7E67">
        <w:trPr>
          <w:cantSplit/>
        </w:trPr>
        <w:tc>
          <w:tcPr>
            <w:tcW w:w="1870" w:type="dxa"/>
          </w:tcPr>
          <w:p w14:paraId="5F5FBEA1" w14:textId="77777777" w:rsidR="006243D6" w:rsidRPr="002E56F6" w:rsidRDefault="006243D6" w:rsidP="006B7E67">
            <w:pPr>
              <w:pStyle w:val="TableSideHeading"/>
              <w:rPr>
                <w:sz w:val="26"/>
              </w:rPr>
            </w:pPr>
            <w:r w:rsidRPr="002E56F6">
              <w:rPr>
                <w:sz w:val="26"/>
                <w:rtl/>
              </w:rPr>
              <w:tab/>
            </w:r>
          </w:p>
        </w:tc>
        <w:tc>
          <w:tcPr>
            <w:tcW w:w="624" w:type="dxa"/>
          </w:tcPr>
          <w:p w14:paraId="77211D8C" w14:textId="77777777" w:rsidR="006243D6" w:rsidRPr="002E56F6" w:rsidRDefault="006243D6" w:rsidP="006B7E67">
            <w:pPr>
              <w:pStyle w:val="TableText"/>
              <w:rPr>
                <w:sz w:val="26"/>
              </w:rPr>
            </w:pPr>
          </w:p>
        </w:tc>
        <w:tc>
          <w:tcPr>
            <w:tcW w:w="624" w:type="dxa"/>
          </w:tcPr>
          <w:p w14:paraId="4C7775C0" w14:textId="77777777" w:rsidR="006243D6" w:rsidRPr="002E56F6" w:rsidRDefault="006243D6" w:rsidP="006B7E67">
            <w:pPr>
              <w:pStyle w:val="TableText"/>
              <w:jc w:val="both"/>
              <w:rPr>
                <w:sz w:val="26"/>
              </w:rPr>
            </w:pPr>
          </w:p>
        </w:tc>
        <w:tc>
          <w:tcPr>
            <w:tcW w:w="6520" w:type="dxa"/>
          </w:tcPr>
          <w:p w14:paraId="1DED2430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(3)</w:t>
            </w:r>
            <w:r w:rsidRPr="002E56F6">
              <w:rPr>
                <w:sz w:val="26"/>
                <w:rtl/>
              </w:rPr>
              <w:tab/>
              <w:t xml:space="preserve">כלוא </w:t>
            </w:r>
            <w:r w:rsidRPr="002E56F6">
              <w:rPr>
                <w:rFonts w:hint="cs"/>
                <w:sz w:val="26"/>
                <w:rtl/>
              </w:rPr>
              <w:t xml:space="preserve">כהגדרתו בסעיף 1 לתקנות השיפוט הצבאי (בתי סוהר צבאיים), </w:t>
            </w:r>
            <w:proofErr w:type="spellStart"/>
            <w:r w:rsidRPr="002E56F6">
              <w:rPr>
                <w:rFonts w:hint="cs"/>
                <w:sz w:val="26"/>
                <w:rtl/>
              </w:rPr>
              <w:t>התשמ"ז</w:t>
            </w:r>
            <w:proofErr w:type="spellEnd"/>
            <w:r w:rsidRPr="002E56F6">
              <w:rPr>
                <w:sz w:val="26"/>
                <w:rtl/>
              </w:rPr>
              <w:t>–</w:t>
            </w:r>
            <w:r w:rsidRPr="002E56F6">
              <w:rPr>
                <w:rFonts w:hint="cs"/>
                <w:sz w:val="26"/>
                <w:rtl/>
              </w:rPr>
              <w:t>1987</w:t>
            </w:r>
            <w:r w:rsidRPr="002E56F6">
              <w:rPr>
                <w:rStyle w:val="a5"/>
                <w:sz w:val="26"/>
                <w:rtl/>
              </w:rPr>
              <w:footnoteReference w:id="8"/>
            </w:r>
            <w:r w:rsidRPr="002E56F6">
              <w:rPr>
                <w:sz w:val="26"/>
                <w:rtl/>
              </w:rPr>
              <w:t>, למפקד מיתקן הכליאה שבו הוא מוחזק.</w:t>
            </w:r>
          </w:p>
        </w:tc>
      </w:tr>
      <w:tr w:rsidR="006243D6" w:rsidRPr="002E56F6" w14:paraId="46A0904F" w14:textId="77777777" w:rsidTr="006B7E67">
        <w:trPr>
          <w:cantSplit/>
        </w:trPr>
        <w:tc>
          <w:tcPr>
            <w:tcW w:w="1870" w:type="dxa"/>
          </w:tcPr>
          <w:p w14:paraId="56EF792F" w14:textId="77777777" w:rsidR="006243D6" w:rsidRPr="002E56F6" w:rsidRDefault="006243D6" w:rsidP="006B7E67">
            <w:pPr>
              <w:pStyle w:val="TableSideHeading"/>
              <w:ind w:right="0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הליכים מקבילים</w:t>
            </w:r>
          </w:p>
        </w:tc>
        <w:tc>
          <w:tcPr>
            <w:tcW w:w="624" w:type="dxa"/>
          </w:tcPr>
          <w:p w14:paraId="3C08E048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  <w:r w:rsidRPr="002E56F6">
              <w:rPr>
                <w:rFonts w:hint="cs"/>
                <w:sz w:val="26"/>
                <w:rtl/>
              </w:rPr>
              <w:t>16.</w:t>
            </w:r>
          </w:p>
        </w:tc>
        <w:tc>
          <w:tcPr>
            <w:tcW w:w="7144" w:type="dxa"/>
            <w:gridSpan w:val="2"/>
          </w:tcPr>
          <w:p w14:paraId="3B910CB0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הובא לידיעת הנציבות שמבקר המדינה או גוף ביקורת אחר החלו בבירור עניין שלגביו הגיש מתלונן תלונה לנציבות, לא תברר הנציבות את התלונה.</w:t>
            </w:r>
          </w:p>
        </w:tc>
      </w:tr>
      <w:tr w:rsidR="006243D6" w:rsidRPr="002E56F6" w14:paraId="46343D3A" w14:textId="77777777" w:rsidTr="006B7E67">
        <w:trPr>
          <w:cantSplit/>
        </w:trPr>
        <w:tc>
          <w:tcPr>
            <w:tcW w:w="1870" w:type="dxa"/>
          </w:tcPr>
          <w:p w14:paraId="18CCEE69" w14:textId="77777777" w:rsidR="006243D6" w:rsidRPr="002E56F6" w:rsidRDefault="006243D6" w:rsidP="006B7E67">
            <w:pPr>
              <w:pStyle w:val="TableSideHeading"/>
              <w:ind w:right="0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אי תלות</w:t>
            </w:r>
          </w:p>
        </w:tc>
        <w:tc>
          <w:tcPr>
            <w:tcW w:w="624" w:type="dxa"/>
          </w:tcPr>
          <w:p w14:paraId="08E2DF1B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  <w:r w:rsidRPr="002E56F6">
              <w:rPr>
                <w:rFonts w:hint="cs"/>
                <w:sz w:val="26"/>
                <w:rtl/>
              </w:rPr>
              <w:t>17.</w:t>
            </w:r>
          </w:p>
        </w:tc>
        <w:tc>
          <w:tcPr>
            <w:tcW w:w="7144" w:type="dxa"/>
            <w:gridSpan w:val="2"/>
          </w:tcPr>
          <w:p w14:paraId="0295C1B0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לא תחול מרות על הנציב ועל עובדי הנציבות בעניין מילוי תפקידיהם לפי חוק זה, זולת מרותו של הדין.</w:t>
            </w:r>
          </w:p>
        </w:tc>
      </w:tr>
      <w:tr w:rsidR="006243D6" w:rsidRPr="002E56F6" w14:paraId="4E8B53C5" w14:textId="77777777" w:rsidTr="006B7E67">
        <w:trPr>
          <w:cantSplit/>
        </w:trPr>
        <w:tc>
          <w:tcPr>
            <w:tcW w:w="1870" w:type="dxa"/>
          </w:tcPr>
          <w:p w14:paraId="5D1DAE11" w14:textId="3B2674D4" w:rsidR="006243D6" w:rsidRPr="002E56F6" w:rsidRDefault="002E56F6" w:rsidP="006B7E67">
            <w:pPr>
              <w:pStyle w:val="TableSideHeading"/>
              <w:ind w:right="0"/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>ביצוע ו</w:t>
            </w:r>
            <w:r w:rsidR="006243D6" w:rsidRPr="002E56F6">
              <w:rPr>
                <w:sz w:val="26"/>
                <w:rtl/>
              </w:rPr>
              <w:t>תקנות</w:t>
            </w:r>
          </w:p>
        </w:tc>
        <w:tc>
          <w:tcPr>
            <w:tcW w:w="624" w:type="dxa"/>
          </w:tcPr>
          <w:p w14:paraId="56ABA468" w14:textId="77777777" w:rsidR="006243D6" w:rsidRPr="002E56F6" w:rsidRDefault="006243D6" w:rsidP="006B7E67">
            <w:pPr>
              <w:pStyle w:val="TableText"/>
              <w:rPr>
                <w:sz w:val="26"/>
                <w:rtl/>
              </w:rPr>
            </w:pPr>
            <w:r w:rsidRPr="002E56F6">
              <w:rPr>
                <w:rFonts w:hint="cs"/>
                <w:sz w:val="26"/>
                <w:rtl/>
              </w:rPr>
              <w:t>18.</w:t>
            </w:r>
          </w:p>
        </w:tc>
        <w:tc>
          <w:tcPr>
            <w:tcW w:w="7144" w:type="dxa"/>
            <w:gridSpan w:val="2"/>
          </w:tcPr>
          <w:p w14:paraId="11CF08A5" w14:textId="77777777" w:rsidR="006243D6" w:rsidRPr="002E56F6" w:rsidRDefault="006243D6" w:rsidP="006B7E67">
            <w:pPr>
              <w:pStyle w:val="TableBlock"/>
              <w:rPr>
                <w:sz w:val="26"/>
                <w:rtl/>
              </w:rPr>
            </w:pPr>
            <w:r w:rsidRPr="002E56F6">
              <w:rPr>
                <w:sz w:val="26"/>
                <w:rtl/>
              </w:rPr>
              <w:t>שר המשפטים ממונה על ביצוע חוק זה והוא רשאי</w:t>
            </w:r>
            <w:r w:rsidRPr="002E56F6">
              <w:rPr>
                <w:rFonts w:hint="cs"/>
                <w:sz w:val="26"/>
                <w:rtl/>
              </w:rPr>
              <w:t>,</w:t>
            </w:r>
            <w:r w:rsidRPr="002E56F6">
              <w:rPr>
                <w:sz w:val="26"/>
                <w:rtl/>
              </w:rPr>
              <w:t xml:space="preserve"> בהתייעצות עם הנציב והיועץ המשפטי לממשלה</w:t>
            </w:r>
            <w:r w:rsidRPr="002E56F6">
              <w:rPr>
                <w:rFonts w:hint="cs"/>
                <w:sz w:val="26"/>
                <w:rtl/>
              </w:rPr>
              <w:t xml:space="preserve">, </w:t>
            </w:r>
            <w:r w:rsidRPr="002E56F6">
              <w:rPr>
                <w:sz w:val="26"/>
                <w:rtl/>
              </w:rPr>
              <w:t>להתקין תקנות לביצועו</w:t>
            </w:r>
            <w:r w:rsidRPr="002E56F6">
              <w:rPr>
                <w:rFonts w:hint="cs"/>
                <w:sz w:val="26"/>
                <w:rtl/>
              </w:rPr>
              <w:t>.</w:t>
            </w:r>
          </w:p>
        </w:tc>
      </w:tr>
    </w:tbl>
    <w:p w14:paraId="52197E63" w14:textId="77777777" w:rsidR="006243D6" w:rsidRDefault="006243D6" w:rsidP="006243D6">
      <w:pPr>
        <w:pStyle w:val="HeadDivreiHesber"/>
        <w:rPr>
          <w:rtl/>
        </w:rPr>
      </w:pPr>
      <w:r w:rsidRPr="0027450A">
        <w:rPr>
          <w:rFonts w:hint="cs"/>
          <w:rtl/>
        </w:rPr>
        <w:t>דברי הסבר</w:t>
      </w:r>
    </w:p>
    <w:p w14:paraId="3712834B" w14:textId="77777777" w:rsidR="006243D6" w:rsidRPr="00986C90" w:rsidRDefault="006243D6" w:rsidP="006243D6">
      <w:pPr>
        <w:pStyle w:val="Hesber"/>
        <w:rPr>
          <w:rtl/>
        </w:rPr>
      </w:pPr>
      <w:r w:rsidRPr="00257F92">
        <w:rPr>
          <w:rtl/>
        </w:rPr>
        <w:t>למערך התביעה וייצוג המדינה בערכאות חלק חשוב ומשמעותי במערכת אכיפת החוק. מערך זה הוא חלק מבסיס דמוקרטי</w:t>
      </w:r>
      <w:r>
        <w:rPr>
          <w:rtl/>
        </w:rPr>
        <w:t xml:space="preserve"> איתן. הגופים והיחידים הנמנים ע</w:t>
      </w:r>
      <w:r>
        <w:rPr>
          <w:rFonts w:hint="cs"/>
          <w:rtl/>
        </w:rPr>
        <w:t>ם</w:t>
      </w:r>
      <w:r w:rsidRPr="00257F92">
        <w:rPr>
          <w:rtl/>
        </w:rPr>
        <w:t xml:space="preserve"> מערך זה נדרשים להפעיל שיקול דעת מקצועי ובלתי תלוי. </w:t>
      </w:r>
      <w:r w:rsidRPr="00676990">
        <w:rPr>
          <w:rtl/>
        </w:rPr>
        <w:t>דווקא משום חשיבות אמון הציבור</w:t>
      </w:r>
      <w:r w:rsidRPr="002C3F98">
        <w:rPr>
          <w:rtl/>
        </w:rPr>
        <w:t xml:space="preserve"> בגופים אלה יש להכפיפם לביקורת שכן אין אדם החף מטעויות ואי</w:t>
      </w:r>
      <w:r>
        <w:rPr>
          <w:rtl/>
        </w:rPr>
        <w:t>ן מערכת שאינה דורשת תהליך פיקוח</w:t>
      </w:r>
      <w:r w:rsidRPr="002C3F98">
        <w:rPr>
          <w:rtl/>
        </w:rPr>
        <w:t xml:space="preserve"> והפקת לקחים.</w:t>
      </w:r>
    </w:p>
    <w:p w14:paraId="5C439A3A" w14:textId="77777777" w:rsidR="006243D6" w:rsidRPr="00986C90" w:rsidRDefault="006243D6" w:rsidP="006243D6">
      <w:pPr>
        <w:pStyle w:val="Hesber"/>
        <w:rPr>
          <w:rtl/>
        </w:rPr>
      </w:pPr>
      <w:r w:rsidRPr="00257F92">
        <w:rPr>
          <w:rtl/>
        </w:rPr>
        <w:t>הצעת חוק זו נועדה להגביר את אמון הציבור בגופי מערך התביעה המייצגים את מדינת ישראל בערכאות השונות. הצעת החוק מבקשת להקים גוף ביקורת יעיל ובלתי תלוי אשר יפעל ליצירת</w:t>
      </w:r>
      <w:r w:rsidRPr="00676990">
        <w:rPr>
          <w:rtl/>
        </w:rPr>
        <w:t xml:space="preserve"> פיקוח וביקורת על מערך התביעה,</w:t>
      </w:r>
      <w:r w:rsidRPr="002C3F98">
        <w:rPr>
          <w:rtl/>
        </w:rPr>
        <w:t xml:space="preserve"> בדגש על התנהלות מערכתית ואישית בתהליכי קבלת ההחלטות. הצעת החוק מבקשת לשמור ולא לפגוע בעצמאות גופי התביעה ועל כן היא אינה עוסקת בבקרת </w:t>
      </w:r>
      <w:r w:rsidRPr="00CD39A5">
        <w:rPr>
          <w:rtl/>
        </w:rPr>
        <w:t xml:space="preserve">שיקול הדעת המשפטי. </w:t>
      </w:r>
    </w:p>
    <w:p w14:paraId="288095F0" w14:textId="77777777" w:rsidR="006243D6" w:rsidRPr="00986C90" w:rsidRDefault="006243D6" w:rsidP="006243D6">
      <w:pPr>
        <w:pStyle w:val="Hesber"/>
        <w:rPr>
          <w:rtl/>
        </w:rPr>
      </w:pPr>
      <w:r w:rsidRPr="00257F92">
        <w:rPr>
          <w:rtl/>
        </w:rPr>
        <w:t>בחלוף למעלה משנה מאז החלה הנציבות לפעול, מוצע לעגן בחקיקה ראשית את פעילות הנציבות על בסיס העקרונות הבאים: האחד, שיפור פעולתם של הגופים המבוקרים, ייעול מנגנוני הביקורת עליהם ובירור תלונות כלפיהם, תוך שמירת עצמאותם בהפעלת שיקול דעת מקצועי באופן עצמאי וללא מורא. הש</w:t>
      </w:r>
      <w:r w:rsidRPr="00676990">
        <w:rPr>
          <w:rtl/>
        </w:rPr>
        <w:t>ני, חיזוק אמון הציבור בגופים המבוקרים ובמערכת אכיפת החוק בכללותה. הצעת החוק נועדה להשיג מטרות אלו.</w:t>
      </w:r>
    </w:p>
    <w:p w14:paraId="6804DD1F" w14:textId="77777777" w:rsidR="006243D6" w:rsidRPr="00986C90" w:rsidRDefault="006243D6" w:rsidP="006243D6">
      <w:pPr>
        <w:pStyle w:val="Hesber"/>
        <w:rPr>
          <w:rtl/>
        </w:rPr>
      </w:pPr>
      <w:r w:rsidRPr="00257F92">
        <w:rPr>
          <w:rtl/>
        </w:rPr>
        <w:t>הצעת החוק יוצרת מנגנון לבניית גוף הביקורת, כשירותו ו</w:t>
      </w:r>
      <w:r w:rsidRPr="00676990">
        <w:rPr>
          <w:rtl/>
        </w:rPr>
        <w:t xml:space="preserve">תהליך מינוי הנציב שיעמוד בראשו. </w:t>
      </w:r>
      <w:r w:rsidRPr="00257F92">
        <w:rPr>
          <w:rtl/>
        </w:rPr>
        <w:t xml:space="preserve">הנציבות תברר תלונות פרטניות לגבי הגופים המבוקרים המנויים בחוק זה, </w:t>
      </w:r>
      <w:r w:rsidRPr="00676990">
        <w:rPr>
          <w:rtl/>
        </w:rPr>
        <w:t>במקרים בהם נתגלה אירוע שיש</w:t>
      </w:r>
      <w:r w:rsidRPr="002C3F98">
        <w:rPr>
          <w:rtl/>
        </w:rPr>
        <w:t xml:space="preserve"> על דעת הנציב מקום למצות הבירור </w:t>
      </w:r>
      <w:proofErr w:type="spellStart"/>
      <w:r w:rsidRPr="002C3F98">
        <w:rPr>
          <w:rtl/>
        </w:rPr>
        <w:t>עימו</w:t>
      </w:r>
      <w:proofErr w:type="spellEnd"/>
      <w:r w:rsidRPr="002C3F98">
        <w:rPr>
          <w:rtl/>
        </w:rPr>
        <w:t xml:space="preserve">; במקרים בהם שר המשפטים והיועץ המשפטי לממשלה </w:t>
      </w:r>
      <w:r w:rsidRPr="002C3F98">
        <w:rPr>
          <w:rtl/>
        </w:rPr>
        <w:lastRenderedPageBreak/>
        <w:t>יבקשו זאת; במקרים בהם הוגשה  תלונה על ידי כל אדם הרואה עצמו נפגע בשל התנהגות המערכת והנציב ראה שיש מקום לבררה.</w:t>
      </w:r>
      <w:r>
        <w:rPr>
          <w:rFonts w:hint="cs"/>
          <w:rtl/>
        </w:rPr>
        <w:t xml:space="preserve"> </w:t>
      </w:r>
      <w:r w:rsidRPr="00257F92">
        <w:rPr>
          <w:rtl/>
        </w:rPr>
        <w:t>לאחר הקמת הנציבות י</w:t>
      </w:r>
      <w:r>
        <w:rPr>
          <w:rFonts w:hint="cs"/>
          <w:rtl/>
        </w:rPr>
        <w:t>י</w:t>
      </w:r>
      <w:r w:rsidRPr="00257F92">
        <w:rPr>
          <w:rtl/>
        </w:rPr>
        <w:t xml:space="preserve">קבעו נהלי </w:t>
      </w:r>
      <w:r>
        <w:rPr>
          <w:rFonts w:hint="cs"/>
          <w:rtl/>
        </w:rPr>
        <w:t>ה</w:t>
      </w:r>
      <w:r w:rsidRPr="00257F92">
        <w:rPr>
          <w:rtl/>
        </w:rPr>
        <w:t>עבודה ואופן הג</w:t>
      </w:r>
      <w:r>
        <w:rPr>
          <w:rtl/>
        </w:rPr>
        <w:t>שת התלונות בהתאם לחוק זה. הנציב</w:t>
      </w:r>
      <w:r w:rsidRPr="00257F92">
        <w:rPr>
          <w:rtl/>
        </w:rPr>
        <w:t xml:space="preserve"> יגיש דוחות שיכללו גם את עיקרי הביקורת והדרכים והליקויים לתיקון הלקחים.</w:t>
      </w:r>
    </w:p>
    <w:p w14:paraId="1DA3CC4D" w14:textId="77777777" w:rsidR="006243D6" w:rsidRPr="00986C90" w:rsidRDefault="006243D6" w:rsidP="006243D6">
      <w:pPr>
        <w:pStyle w:val="Hesber"/>
        <w:rPr>
          <w:rtl/>
        </w:rPr>
      </w:pPr>
      <w:r w:rsidRPr="00676990">
        <w:rPr>
          <w:rtl/>
        </w:rPr>
        <w:t xml:space="preserve"> מערכת התביעה ועשיית הצדק במדינת ישראל מחייבים הקמת גוף ביקורת זה. באמצעות הקמתו יוכלו גופי התביעה לזכות לאמון </w:t>
      </w:r>
      <w:r>
        <w:rPr>
          <w:rtl/>
        </w:rPr>
        <w:t xml:space="preserve">האזרחים עליהם הם אמונים בעשיית </w:t>
      </w:r>
      <w:r>
        <w:rPr>
          <w:rFonts w:hint="cs"/>
          <w:rtl/>
        </w:rPr>
        <w:t>ה</w:t>
      </w:r>
      <w:r w:rsidRPr="00676990">
        <w:rPr>
          <w:rtl/>
        </w:rPr>
        <w:t>צדק במדינת ישראל.</w:t>
      </w:r>
    </w:p>
    <w:p w14:paraId="2FE157E0" w14:textId="77777777" w:rsidR="006243D6" w:rsidRDefault="006243D6" w:rsidP="006243D6">
      <w:pPr>
        <w:rPr>
          <w:rtl/>
        </w:rPr>
      </w:pPr>
    </w:p>
    <w:p w14:paraId="4ABE994E" w14:textId="4DFEA65F" w:rsidR="002E56F6" w:rsidRDefault="002E56F6" w:rsidP="006243D6">
      <w:pPr>
        <w:rPr>
          <w:rtl/>
        </w:rPr>
      </w:pPr>
    </w:p>
    <w:p w14:paraId="504A507D" w14:textId="77777777" w:rsidR="002E56F6" w:rsidRDefault="002E56F6" w:rsidP="006243D6">
      <w:pPr>
        <w:rPr>
          <w:rtl/>
        </w:rPr>
      </w:pPr>
    </w:p>
    <w:p w14:paraId="72F5052A" w14:textId="77777777" w:rsidR="006243D6" w:rsidRDefault="006243D6" w:rsidP="006243D6">
      <w:pPr>
        <w:pStyle w:val="Hesber"/>
        <w:rPr>
          <w:rtl/>
        </w:rPr>
      </w:pPr>
    </w:p>
    <w:p w14:paraId="4D5CBAFD" w14:textId="77777777" w:rsidR="002E56F6" w:rsidRPr="0022704F" w:rsidRDefault="002E56F6" w:rsidP="002E56F6">
      <w:pPr>
        <w:spacing w:before="0" w:line="360" w:lineRule="auto"/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  <w:r w:rsidRPr="0022704F"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  <w:t>---------------------------------</w:t>
      </w:r>
    </w:p>
    <w:p w14:paraId="797E4ACE" w14:textId="77777777" w:rsidR="002E56F6" w:rsidRPr="0022704F" w:rsidRDefault="002E56F6" w:rsidP="002E56F6">
      <w:pPr>
        <w:spacing w:before="0" w:line="360" w:lineRule="auto"/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  <w:r w:rsidRPr="0022704F"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  <w:t>הוגשה ליו"ר הכנסת והסגנים</w:t>
      </w:r>
    </w:p>
    <w:p w14:paraId="7D08CB4D" w14:textId="77777777" w:rsidR="002E56F6" w:rsidRPr="0022704F" w:rsidRDefault="002E56F6" w:rsidP="002E56F6">
      <w:pPr>
        <w:spacing w:before="0" w:line="360" w:lineRule="auto"/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  <w:r w:rsidRPr="0022704F"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  <w:t>והונחה על שולחן הכנסת ביום</w:t>
      </w:r>
    </w:p>
    <w:p w14:paraId="556C3C96" w14:textId="77777777" w:rsidR="002E56F6" w:rsidRPr="00935520" w:rsidRDefault="002E56F6" w:rsidP="002E56F6">
      <w:pPr>
        <w:spacing w:before="0" w:line="360" w:lineRule="auto"/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</w:rPr>
      </w:pPr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 xml:space="preserve">ו'  בחשוון </w:t>
      </w:r>
      <w:proofErr w:type="spellStart"/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התשע"ו</w:t>
      </w:r>
      <w:proofErr w:type="spellEnd"/>
      <w:r w:rsidRPr="00935520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 xml:space="preserve"> – </w:t>
      </w:r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19</w:t>
      </w:r>
      <w:r w:rsidRPr="00935520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.</w:t>
      </w:r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10</w:t>
      </w:r>
      <w:r w:rsidRPr="00935520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.</w:t>
      </w:r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15</w:t>
      </w:r>
    </w:p>
    <w:p w14:paraId="7F6961CB" w14:textId="77777777" w:rsidR="00E13C27" w:rsidRPr="006243D6" w:rsidRDefault="00E13C27" w:rsidP="006243D6">
      <w:pPr>
        <w:rPr>
          <w:rtl/>
        </w:rPr>
      </w:pPr>
    </w:p>
    <w:sectPr w:rsidR="00E13C27" w:rsidRPr="006243D6" w:rsidSect="001207F8">
      <w:footerReference w:type="even" r:id="rId11"/>
      <w:footerReference w:type="default" r:id="rId12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88A69" w14:textId="77777777" w:rsidR="00A942C1" w:rsidRDefault="00A942C1">
      <w:r>
        <w:separator/>
      </w:r>
    </w:p>
  </w:endnote>
  <w:endnote w:type="continuationSeparator" w:id="0">
    <w:p w14:paraId="318F26FB" w14:textId="77777777" w:rsidR="00A942C1" w:rsidRDefault="00A942C1">
      <w:r>
        <w:continuationSeparator/>
      </w:r>
    </w:p>
  </w:endnote>
  <w:endnote w:type="continuationNotice" w:id="1">
    <w:p w14:paraId="6BE48FD5" w14:textId="77777777" w:rsidR="00A942C1" w:rsidRDefault="00A942C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5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14:paraId="7F6961D6" w14:textId="77777777" w:rsidR="002C3041" w:rsidRDefault="002C30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7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separate"/>
    </w:r>
    <w:r w:rsidR="00495917">
      <w:rPr>
        <w:rStyle w:val="aa"/>
        <w:noProof/>
        <w:rtl/>
      </w:rPr>
      <w:t>7</w:t>
    </w:r>
    <w:r>
      <w:rPr>
        <w:rStyle w:val="aa"/>
        <w:rtl/>
      </w:rPr>
      <w:fldChar w:fldCharType="end"/>
    </w:r>
  </w:p>
  <w:p w14:paraId="7F6961D8" w14:textId="77777777" w:rsidR="002C3041" w:rsidRDefault="002C30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7B9F2" w14:textId="77777777" w:rsidR="00A942C1" w:rsidRDefault="00A942C1">
      <w:r>
        <w:separator/>
      </w:r>
    </w:p>
  </w:footnote>
  <w:footnote w:type="continuationSeparator" w:id="0">
    <w:p w14:paraId="3DB92342" w14:textId="77777777" w:rsidR="00A942C1" w:rsidRDefault="00A942C1">
      <w:r>
        <w:continuationSeparator/>
      </w:r>
    </w:p>
  </w:footnote>
  <w:footnote w:type="continuationNotice" w:id="1">
    <w:p w14:paraId="16009878" w14:textId="77777777" w:rsidR="00A942C1" w:rsidRDefault="00A942C1"/>
  </w:footnote>
  <w:footnote w:id="2">
    <w:p w14:paraId="3CD3FF77" w14:textId="77777777" w:rsidR="006243D6" w:rsidRDefault="006243D6" w:rsidP="006243D6">
      <w:pPr>
        <w:pStyle w:val="a4"/>
      </w:pPr>
      <w:r>
        <w:rPr>
          <w:rStyle w:val="a5"/>
        </w:rPr>
        <w:footnoteRef/>
      </w:r>
      <w:r>
        <w:rPr>
          <w:rtl/>
        </w:rPr>
        <w:t xml:space="preserve"> </w:t>
      </w:r>
      <w:r w:rsidRPr="0059215A">
        <w:rPr>
          <w:rtl/>
        </w:rPr>
        <w:t xml:space="preserve">ס"ח </w:t>
      </w:r>
      <w:proofErr w:type="spellStart"/>
      <w:r>
        <w:rPr>
          <w:rFonts w:hint="cs"/>
          <w:rtl/>
        </w:rPr>
        <w:t>התשי"ח</w:t>
      </w:r>
      <w:proofErr w:type="spellEnd"/>
      <w:r w:rsidRPr="0059215A">
        <w:rPr>
          <w:rtl/>
        </w:rPr>
        <w:t>, עמ' 118.</w:t>
      </w:r>
    </w:p>
  </w:footnote>
  <w:footnote w:id="3">
    <w:p w14:paraId="2BFC3E97" w14:textId="77777777" w:rsidR="006243D6" w:rsidRDefault="006243D6" w:rsidP="006243D6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התשמ"ב</w:t>
      </w:r>
      <w:proofErr w:type="spellEnd"/>
      <w:r>
        <w:rPr>
          <w:rFonts w:hint="cs"/>
          <w:rtl/>
        </w:rPr>
        <w:t>, עמ' 43.</w:t>
      </w:r>
    </w:p>
  </w:footnote>
  <w:footnote w:id="4">
    <w:p w14:paraId="06F9EFD7" w14:textId="77777777" w:rsidR="006243D6" w:rsidRDefault="006243D6" w:rsidP="006243D6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התשמ"ד</w:t>
      </w:r>
      <w:proofErr w:type="spellEnd"/>
      <w:r>
        <w:rPr>
          <w:rFonts w:hint="cs"/>
          <w:rtl/>
        </w:rPr>
        <w:t>, עמ' 198.</w:t>
      </w:r>
    </w:p>
  </w:footnote>
  <w:footnote w:id="5">
    <w:p w14:paraId="3D72BB6F" w14:textId="77777777" w:rsidR="006243D6" w:rsidRDefault="006243D6" w:rsidP="006243D6">
      <w:pPr>
        <w:pStyle w:val="a4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התשי"ח</w:t>
      </w:r>
      <w:proofErr w:type="spellEnd"/>
      <w:r>
        <w:rPr>
          <w:rFonts w:hint="cs"/>
          <w:rtl/>
        </w:rPr>
        <w:t>, עמ' 92.</w:t>
      </w:r>
    </w:p>
  </w:footnote>
  <w:footnote w:id="6">
    <w:p w14:paraId="758D713B" w14:textId="77777777" w:rsidR="006243D6" w:rsidRDefault="006243D6" w:rsidP="006243D6">
      <w:pPr>
        <w:pStyle w:val="a4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דיני מדינת ישראל, נוסח חדש 21, עמ' 459.</w:t>
      </w:r>
    </w:p>
  </w:footnote>
  <w:footnote w:id="7">
    <w:p w14:paraId="4E3DD174" w14:textId="77777777" w:rsidR="006243D6" w:rsidRDefault="006243D6" w:rsidP="006243D6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התשנ"ו</w:t>
      </w:r>
      <w:proofErr w:type="spellEnd"/>
      <w:r>
        <w:rPr>
          <w:rFonts w:hint="cs"/>
          <w:rtl/>
        </w:rPr>
        <w:t>, עמ' 338.</w:t>
      </w:r>
    </w:p>
  </w:footnote>
  <w:footnote w:id="8">
    <w:p w14:paraId="34993412" w14:textId="77777777" w:rsidR="006243D6" w:rsidRDefault="006243D6" w:rsidP="006243D6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ק"ת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התשמ"ז</w:t>
      </w:r>
      <w:proofErr w:type="spellEnd"/>
      <w:r>
        <w:rPr>
          <w:rFonts w:hint="cs"/>
          <w:rtl/>
        </w:rPr>
        <w:t>, עמ' 294.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A6B75"/>
    <w:multiLevelType w:val="multilevel"/>
    <w:tmpl w:val="024214A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4549B0"/>
    <w:multiLevelType w:val="multilevel"/>
    <w:tmpl w:val="2AD6D21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AC35E9"/>
    <w:multiLevelType w:val="hybridMultilevel"/>
    <w:tmpl w:val="69A437EC"/>
    <w:lvl w:ilvl="0" w:tplc="DEAE4638">
      <w:start w:val="1"/>
      <w:numFmt w:val="hebrew1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964A5"/>
    <w:multiLevelType w:val="multilevel"/>
    <w:tmpl w:val="91A62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681B53"/>
    <w:multiLevelType w:val="multilevel"/>
    <w:tmpl w:val="2AD6D21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F43720"/>
    <w:multiLevelType w:val="multilevel"/>
    <w:tmpl w:val="FE5E1E58"/>
    <w:lvl w:ilvl="0">
      <w:start w:val="1"/>
      <w:numFmt w:val="decimal"/>
      <w:lvlText w:val="(%1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entative="1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entative="1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entative="1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entative="1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entative="1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6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233025"/>
    <w:multiLevelType w:val="multilevel"/>
    <w:tmpl w:val="3560F86C"/>
    <w:lvl w:ilvl="0">
      <w:start w:val="1"/>
      <w:numFmt w:val="hebrew1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3877E1"/>
    <w:multiLevelType w:val="multilevel"/>
    <w:tmpl w:val="6FC0A284"/>
    <w:lvl w:ilvl="0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0" w15:restartNumberingAfterBreak="0">
    <w:nsid w:val="28B90B19"/>
    <w:multiLevelType w:val="multilevel"/>
    <w:tmpl w:val="85FA5B30"/>
    <w:lvl w:ilvl="0">
      <w:start w:val="1"/>
      <w:numFmt w:val="hebrew1"/>
      <w:lvlText w:val="(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1" w15:restartNumberingAfterBreak="0">
    <w:nsid w:val="2C410740"/>
    <w:multiLevelType w:val="hybridMultilevel"/>
    <w:tmpl w:val="8794B654"/>
    <w:lvl w:ilvl="0" w:tplc="12E88E8E">
      <w:start w:val="3"/>
      <w:numFmt w:val="hebrew1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F4AD7"/>
    <w:multiLevelType w:val="hybridMultilevel"/>
    <w:tmpl w:val="B78610DC"/>
    <w:lvl w:ilvl="0" w:tplc="ADF0483C">
      <w:start w:val="2"/>
      <w:numFmt w:val="hebrew1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B280B"/>
    <w:multiLevelType w:val="multilevel"/>
    <w:tmpl w:val="8814D722"/>
    <w:lvl w:ilvl="0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2149BA"/>
    <w:multiLevelType w:val="multilevel"/>
    <w:tmpl w:val="3F7A7954"/>
    <w:lvl w:ilvl="0">
      <w:start w:val="1"/>
      <w:numFmt w:val="hebrew1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FC337C"/>
    <w:multiLevelType w:val="multilevel"/>
    <w:tmpl w:val="9B36DA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623C2E"/>
    <w:multiLevelType w:val="multilevel"/>
    <w:tmpl w:val="9B56D2C0"/>
    <w:lvl w:ilvl="0">
      <w:start w:val="1"/>
      <w:numFmt w:val="decimal"/>
      <w:lvlText w:val="(%1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27" w15:restartNumberingAfterBreak="0">
    <w:nsid w:val="5D3E663C"/>
    <w:multiLevelType w:val="multilevel"/>
    <w:tmpl w:val="59AA3D2C"/>
    <w:lvl w:ilvl="0">
      <w:start w:val="1"/>
      <w:numFmt w:val="hebrew1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8" w15:restartNumberingAfterBreak="0">
    <w:nsid w:val="60AC732F"/>
    <w:multiLevelType w:val="multilevel"/>
    <w:tmpl w:val="ECDEBCD0"/>
    <w:lvl w:ilvl="0">
      <w:start w:val="1"/>
      <w:numFmt w:val="decimal"/>
      <w:lvlText w:val="(%1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29" w15:restartNumberingAfterBreak="0">
    <w:nsid w:val="648C1DB1"/>
    <w:multiLevelType w:val="multilevel"/>
    <w:tmpl w:val="2AD6D21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D33A82"/>
    <w:multiLevelType w:val="multilevel"/>
    <w:tmpl w:val="19424FAC"/>
    <w:lvl w:ilvl="0">
      <w:start w:val="1"/>
      <w:numFmt w:val="hebrew1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1D6B83"/>
    <w:multiLevelType w:val="multilevel"/>
    <w:tmpl w:val="60F2A25E"/>
    <w:lvl w:ilvl="0">
      <w:start w:val="1"/>
      <w:numFmt w:val="hebrew1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D84313"/>
    <w:multiLevelType w:val="multilevel"/>
    <w:tmpl w:val="2AC2E19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60266D"/>
    <w:multiLevelType w:val="multilevel"/>
    <w:tmpl w:val="01A210EE"/>
    <w:lvl w:ilvl="0">
      <w:start w:val="1"/>
      <w:numFmt w:val="hebrew1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33"/>
  </w:num>
  <w:num w:numId="13">
    <w:abstractNumId w:val="16"/>
  </w:num>
  <w:num w:numId="14">
    <w:abstractNumId w:val="34"/>
  </w:num>
  <w:num w:numId="15">
    <w:abstractNumId w:val="10"/>
  </w:num>
  <w:num w:numId="16">
    <w:abstractNumId w:val="23"/>
  </w:num>
  <w:num w:numId="17">
    <w:abstractNumId w:val="27"/>
  </w:num>
  <w:num w:numId="18">
    <w:abstractNumId w:val="25"/>
    <w:lvlOverride w:ilvl="0">
      <w:lvl w:ilvl="0">
        <w:start w:val="1"/>
        <w:numFmt w:val="hebrew1"/>
        <w:lvlText w:val="%1."/>
        <w:lvlJc w:val="center"/>
        <w:pPr>
          <w:ind w:left="643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363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083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03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523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243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963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683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03" w:hanging="180"/>
        </w:pPr>
      </w:lvl>
    </w:lvlOverride>
  </w:num>
  <w:num w:numId="19">
    <w:abstractNumId w:val="25"/>
    <w:lvlOverride w:ilvl="0">
      <w:lvl w:ilvl="0">
        <w:start w:val="1"/>
        <w:numFmt w:val="hebrew1"/>
        <w:lvlText w:val="%1."/>
        <w:lvlJc w:val="center"/>
        <w:pPr>
          <w:ind w:left="643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0">
    <w:abstractNumId w:val="25"/>
    <w:lvlOverride w:ilvl="0">
      <w:lvl w:ilvl="0">
        <w:start w:val="1"/>
        <w:numFmt w:val="hebrew1"/>
        <w:lvlText w:val="%1."/>
        <w:lvlJc w:val="center"/>
        <w:pPr>
          <w:ind w:left="643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1">
    <w:abstractNumId w:val="25"/>
    <w:lvlOverride w:ilvl="0">
      <w:lvl w:ilvl="0">
        <w:start w:val="1"/>
        <w:numFmt w:val="hebrew1"/>
        <w:lvlText w:val="%1."/>
        <w:lvlJc w:val="center"/>
        <w:pPr>
          <w:ind w:left="643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2">
    <w:abstractNumId w:val="25"/>
    <w:lvlOverride w:ilvl="0">
      <w:lvl w:ilvl="0">
        <w:start w:val="1"/>
        <w:numFmt w:val="hebrew1"/>
        <w:lvlText w:val="%1."/>
        <w:lvlJc w:val="center"/>
        <w:pPr>
          <w:ind w:left="643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3">
    <w:abstractNumId w:val="25"/>
    <w:lvlOverride w:ilvl="0">
      <w:lvl w:ilvl="0">
        <w:start w:val="1"/>
        <w:numFmt w:val="hebrew1"/>
        <w:lvlText w:val="%1."/>
        <w:lvlJc w:val="center"/>
        <w:pPr>
          <w:ind w:left="643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4">
    <w:abstractNumId w:val="31"/>
  </w:num>
  <w:num w:numId="25">
    <w:abstractNumId w:val="26"/>
  </w:num>
  <w:num w:numId="26">
    <w:abstractNumId w:val="20"/>
  </w:num>
  <w:num w:numId="27">
    <w:abstractNumId w:val="28"/>
  </w:num>
  <w:num w:numId="28">
    <w:abstractNumId w:val="24"/>
  </w:num>
  <w:num w:numId="29">
    <w:abstractNumId w:val="15"/>
  </w:num>
  <w:num w:numId="30">
    <w:abstractNumId w:val="32"/>
  </w:num>
  <w:num w:numId="31">
    <w:abstractNumId w:val="11"/>
  </w:num>
  <w:num w:numId="32">
    <w:abstractNumId w:val="13"/>
  </w:num>
  <w:num w:numId="33">
    <w:abstractNumId w:val="30"/>
  </w:num>
  <w:num w:numId="34">
    <w:abstractNumId w:val="17"/>
  </w:num>
  <w:num w:numId="35">
    <w:abstractNumId w:val="35"/>
  </w:num>
  <w:num w:numId="36">
    <w:abstractNumId w:val="19"/>
  </w:num>
  <w:num w:numId="37">
    <w:abstractNumId w:val="12"/>
  </w:num>
  <w:num w:numId="38">
    <w:abstractNumId w:val="22"/>
  </w:num>
  <w:num w:numId="39">
    <w:abstractNumId w:val="21"/>
  </w:num>
  <w:num w:numId="40">
    <w:abstractNumId w:val="14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15B27"/>
    <w:rsid w:val="00063A3E"/>
    <w:rsid w:val="00072CAC"/>
    <w:rsid w:val="0007681A"/>
    <w:rsid w:val="000A542E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A0623"/>
    <w:rsid w:val="001C23B0"/>
    <w:rsid w:val="001D7AAF"/>
    <w:rsid w:val="001E3A82"/>
    <w:rsid w:val="00203A7F"/>
    <w:rsid w:val="0021633A"/>
    <w:rsid w:val="002200A1"/>
    <w:rsid w:val="002362BF"/>
    <w:rsid w:val="00241B97"/>
    <w:rsid w:val="002425D1"/>
    <w:rsid w:val="00246756"/>
    <w:rsid w:val="00251E58"/>
    <w:rsid w:val="00254605"/>
    <w:rsid w:val="00266D86"/>
    <w:rsid w:val="002728B4"/>
    <w:rsid w:val="0027600C"/>
    <w:rsid w:val="00292712"/>
    <w:rsid w:val="002A487D"/>
    <w:rsid w:val="002C2E29"/>
    <w:rsid w:val="002C3041"/>
    <w:rsid w:val="002D1EE3"/>
    <w:rsid w:val="002E56F6"/>
    <w:rsid w:val="002F1D80"/>
    <w:rsid w:val="003232A2"/>
    <w:rsid w:val="00325C14"/>
    <w:rsid w:val="0036422C"/>
    <w:rsid w:val="003710F6"/>
    <w:rsid w:val="00386E88"/>
    <w:rsid w:val="00396585"/>
    <w:rsid w:val="003D6E38"/>
    <w:rsid w:val="003D74A0"/>
    <w:rsid w:val="0040280F"/>
    <w:rsid w:val="004033D8"/>
    <w:rsid w:val="004073F0"/>
    <w:rsid w:val="00412A7D"/>
    <w:rsid w:val="00416B4D"/>
    <w:rsid w:val="00417CFC"/>
    <w:rsid w:val="00495917"/>
    <w:rsid w:val="004A06DC"/>
    <w:rsid w:val="004B24ED"/>
    <w:rsid w:val="004B6625"/>
    <w:rsid w:val="004D2D82"/>
    <w:rsid w:val="004D3876"/>
    <w:rsid w:val="004E4552"/>
    <w:rsid w:val="004E6CDF"/>
    <w:rsid w:val="0055244C"/>
    <w:rsid w:val="00553C9D"/>
    <w:rsid w:val="00562A66"/>
    <w:rsid w:val="005B064E"/>
    <w:rsid w:val="005D51AE"/>
    <w:rsid w:val="006243D6"/>
    <w:rsid w:val="0062674B"/>
    <w:rsid w:val="006363B2"/>
    <w:rsid w:val="00644940"/>
    <w:rsid w:val="006818A9"/>
    <w:rsid w:val="006A2D81"/>
    <w:rsid w:val="006C1D0D"/>
    <w:rsid w:val="0070601E"/>
    <w:rsid w:val="00712C72"/>
    <w:rsid w:val="00735FE9"/>
    <w:rsid w:val="00763CAA"/>
    <w:rsid w:val="00765F66"/>
    <w:rsid w:val="0078664F"/>
    <w:rsid w:val="007C3FA6"/>
    <w:rsid w:val="007D585A"/>
    <w:rsid w:val="007D5A12"/>
    <w:rsid w:val="007E59F9"/>
    <w:rsid w:val="00810BCD"/>
    <w:rsid w:val="00812C98"/>
    <w:rsid w:val="00814D92"/>
    <w:rsid w:val="0083181D"/>
    <w:rsid w:val="00843EB2"/>
    <w:rsid w:val="00865572"/>
    <w:rsid w:val="00874055"/>
    <w:rsid w:val="00874BBC"/>
    <w:rsid w:val="00892135"/>
    <w:rsid w:val="00895449"/>
    <w:rsid w:val="00897879"/>
    <w:rsid w:val="008A6870"/>
    <w:rsid w:val="008C2DDC"/>
    <w:rsid w:val="008C7516"/>
    <w:rsid w:val="008E6EC7"/>
    <w:rsid w:val="008F0D63"/>
    <w:rsid w:val="008F1308"/>
    <w:rsid w:val="008F2C35"/>
    <w:rsid w:val="008F6665"/>
    <w:rsid w:val="00904591"/>
    <w:rsid w:val="00905E5F"/>
    <w:rsid w:val="0091204F"/>
    <w:rsid w:val="009203DB"/>
    <w:rsid w:val="00923CD4"/>
    <w:rsid w:val="00930EFE"/>
    <w:rsid w:val="00943386"/>
    <w:rsid w:val="009456B6"/>
    <w:rsid w:val="00957589"/>
    <w:rsid w:val="00966D06"/>
    <w:rsid w:val="00982412"/>
    <w:rsid w:val="00983A8D"/>
    <w:rsid w:val="009A0DB8"/>
    <w:rsid w:val="009A7257"/>
    <w:rsid w:val="009D38F9"/>
    <w:rsid w:val="009D6E0A"/>
    <w:rsid w:val="009E1E33"/>
    <w:rsid w:val="00A14672"/>
    <w:rsid w:val="00A26BD6"/>
    <w:rsid w:val="00A443CF"/>
    <w:rsid w:val="00A6611D"/>
    <w:rsid w:val="00A82CB7"/>
    <w:rsid w:val="00A942C1"/>
    <w:rsid w:val="00AA2F03"/>
    <w:rsid w:val="00AC36F7"/>
    <w:rsid w:val="00AC38A4"/>
    <w:rsid w:val="00AC63A4"/>
    <w:rsid w:val="00AD239E"/>
    <w:rsid w:val="00B10265"/>
    <w:rsid w:val="00B16A99"/>
    <w:rsid w:val="00B21211"/>
    <w:rsid w:val="00B35784"/>
    <w:rsid w:val="00B733A7"/>
    <w:rsid w:val="00B75C91"/>
    <w:rsid w:val="00B975AD"/>
    <w:rsid w:val="00BC45FB"/>
    <w:rsid w:val="00BF148D"/>
    <w:rsid w:val="00C23B1A"/>
    <w:rsid w:val="00C310EB"/>
    <w:rsid w:val="00C9176A"/>
    <w:rsid w:val="00CF1AA2"/>
    <w:rsid w:val="00D17774"/>
    <w:rsid w:val="00D63620"/>
    <w:rsid w:val="00D8410D"/>
    <w:rsid w:val="00D867D7"/>
    <w:rsid w:val="00DB7060"/>
    <w:rsid w:val="00DE3153"/>
    <w:rsid w:val="00E06736"/>
    <w:rsid w:val="00E13C27"/>
    <w:rsid w:val="00E33BBD"/>
    <w:rsid w:val="00E374F2"/>
    <w:rsid w:val="00E45103"/>
    <w:rsid w:val="00E55A60"/>
    <w:rsid w:val="00E62778"/>
    <w:rsid w:val="00E63D38"/>
    <w:rsid w:val="00E665B9"/>
    <w:rsid w:val="00EA01E6"/>
    <w:rsid w:val="00EA3DE8"/>
    <w:rsid w:val="00EA758F"/>
    <w:rsid w:val="00ED4A6F"/>
    <w:rsid w:val="00EF3A3A"/>
    <w:rsid w:val="00F05ADF"/>
    <w:rsid w:val="00F628D6"/>
    <w:rsid w:val="00F67051"/>
    <w:rsid w:val="00F86A1E"/>
    <w:rsid w:val="00FA5E88"/>
    <w:rsid w:val="00FE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3D0DB9CA-7833-46CB-8F19-0899A28C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AD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B975AD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B975AD"/>
    <w:rPr>
      <w:sz w:val="36"/>
      <w:szCs w:val="52"/>
    </w:rPr>
  </w:style>
  <w:style w:type="paragraph" w:customStyle="1" w:styleId="Cover3-Haknesset">
    <w:name w:val="Cover 3-Haknesset"/>
    <w:basedOn w:val="Cover1-Reshumot"/>
    <w:rsid w:val="00B975AD"/>
    <w:rPr>
      <w:b/>
      <w:bCs/>
      <w:spacing w:val="60"/>
    </w:rPr>
  </w:style>
  <w:style w:type="paragraph" w:customStyle="1" w:styleId="Cover4-Date">
    <w:name w:val="Cover 4-Date"/>
    <w:basedOn w:val="a"/>
    <w:rsid w:val="00B975AD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B975AD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B975AD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B975AD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B975AD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B975AD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B975AD"/>
  </w:style>
  <w:style w:type="paragraph" w:customStyle="1" w:styleId="TableBlock">
    <w:name w:val="Table Block"/>
    <w:basedOn w:val="TableText"/>
    <w:rsid w:val="00B975AD"/>
    <w:pPr>
      <w:ind w:right="0"/>
      <w:jc w:val="both"/>
    </w:pPr>
  </w:style>
  <w:style w:type="paragraph" w:customStyle="1" w:styleId="TableHead">
    <w:name w:val="Table Head"/>
    <w:basedOn w:val="TableText"/>
    <w:rsid w:val="00B975AD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B975AD"/>
  </w:style>
  <w:style w:type="paragraph" w:customStyle="1" w:styleId="Hesber">
    <w:name w:val="Hesber"/>
    <w:basedOn w:val="a"/>
    <w:rsid w:val="00B975AD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autoRedefine/>
    <w:semiHidden/>
    <w:rsid w:val="00B975AD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5">
    <w:name w:val="footnote reference"/>
    <w:aliases w:val="Footnote Reference"/>
    <w:basedOn w:val="a0"/>
    <w:semiHidden/>
    <w:rsid w:val="00B975AD"/>
    <w:rPr>
      <w:vertAlign w:val="superscript"/>
    </w:rPr>
  </w:style>
  <w:style w:type="paragraph" w:customStyle="1" w:styleId="HesberHeading">
    <w:name w:val="Hesber Heading"/>
    <w:basedOn w:val="Hesber"/>
    <w:rsid w:val="00B975AD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B975AD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B975AD"/>
    <w:pPr>
      <w:tabs>
        <w:tab w:val="left" w:pos="680"/>
        <w:tab w:val="left" w:pos="1020"/>
      </w:tabs>
      <w:ind w:firstLine="0"/>
    </w:pPr>
  </w:style>
  <w:style w:type="character" w:styleId="a6">
    <w:name w:val="endnote reference"/>
    <w:basedOn w:val="a0"/>
    <w:semiHidden/>
    <w:rsid w:val="00B975AD"/>
    <w:rPr>
      <w:vertAlign w:val="superscript"/>
    </w:rPr>
  </w:style>
  <w:style w:type="paragraph" w:customStyle="1" w:styleId="TableBlockOutdent">
    <w:name w:val="Table BlockOutdent"/>
    <w:basedOn w:val="TableBlock"/>
    <w:rsid w:val="00B975AD"/>
    <w:pPr>
      <w:ind w:left="624" w:hanging="624"/>
    </w:pPr>
  </w:style>
  <w:style w:type="paragraph" w:styleId="a7">
    <w:name w:val="header"/>
    <w:basedOn w:val="a"/>
    <w:rsid w:val="00B975AD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B975AD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B975AD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B975AD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9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a">
    <w:name w:val="page number"/>
    <w:basedOn w:val="a0"/>
    <w:rsid w:val="00B975AD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b">
    <w:name w:val="Balloon Text"/>
    <w:basedOn w:val="a"/>
    <w:link w:val="ac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1E205BBB08441AEFFEBF8ABB23DF1" ma:contentTypeVersion="0" ma:contentTypeDescription="Create a new document." ma:contentTypeScope="" ma:versionID="5e16b795bfa190b891513a8f9da454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C4C31C-7A1F-4D51-994D-6F82F598F744}"/>
</file>

<file path=customXml/itemProps2.xml><?xml version="1.0" encoding="utf-8"?>
<ds:datastoreItem xmlns:ds="http://schemas.openxmlformats.org/officeDocument/2006/customXml" ds:itemID="{88F4AFE3-9455-419C-8851-785A55F44517}"/>
</file>

<file path=customXml/itemProps3.xml><?xml version="1.0" encoding="utf-8"?>
<ds:datastoreItem xmlns:ds="http://schemas.openxmlformats.org/officeDocument/2006/customXml" ds:itemID="{53CDC32B-DD97-493E-9196-3EF77D6F9C7D}"/>
</file>

<file path=customXml/itemProps4.xml><?xml version="1.0" encoding="utf-8"?>
<ds:datastoreItem xmlns:ds="http://schemas.openxmlformats.org/officeDocument/2006/customXml" ds:itemID="{CBBBC2CB-E4B8-4B63-A320-B2C0787BC8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1562</Words>
  <Characters>7815</Characters>
  <Application>Microsoft Office Word</Application>
  <DocSecurity>4</DocSecurity>
  <Lines>65</Lines>
  <Paragraphs>18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חופית עלפי</cp:lastModifiedBy>
  <cp:revision>2</cp:revision>
  <cp:lastPrinted>2015-10-15T11:05:00Z</cp:lastPrinted>
  <dcterms:created xsi:type="dcterms:W3CDTF">2016-05-26T06:29:00Z</dcterms:created>
  <dcterms:modified xsi:type="dcterms:W3CDTF">2016-05-26T06:29:00Z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0x010100F931E205BBB08441AEFFEBF8ABB23DF1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88</vt:r8>
  </property>
  <property fmtid="{D5CDD505-2E9C-101B-9397-08002B2CF9AE}" pid="5" name="SanhedrinItemID">
    <vt:r8>2002980</vt:r8>
  </property>
</Properties>
</file>