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576434</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יוזם:</w:t>
      </w:r>
      <w:r>
        <w:tab/>
      </w:r>
      <w:r>
        <w:rPr>
          <w:b/>
          <w:bCs/>
          <w:rtl/>
        </w:rPr>
        <w:t xml:space="preserve">      חבר הכנסת</w:t>
      </w:r>
      <w:bookmarkEnd w:id="3"/>
      <w:r w:rsidR="00B35784" w:rsidRPr="00F67051">
        <w:rPr>
          <w:b/>
          <w:bCs/>
        </w:rPr>
        <w:tab/>
      </w:r>
      <w:bookmarkStart w:id="4" w:name="LGS_PM_Names"/>
      <w:r>
        <w:rPr>
          <w:rFonts w:hint="cs"/>
          <w:b/>
          <w:bCs/>
          <w:rtl/>
        </w:rPr>
        <w:t>דוד אמסלם</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 xml:space="preserve"> </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8" w:name="LGS_Subject"/>
      <w:r>
        <w:rPr>
          <w:rFonts w:hint="cs"/>
          <w:rtl/>
        </w:rPr>
        <w:t xml:space="preserve">הצעת חוק קצבה ומשכורת מקופה ציבורית, </w:t>
      </w:r>
      <w:proofErr w:type="spellStart"/>
      <w:r>
        <w:rPr>
          <w:rFonts w:hint="cs"/>
          <w:rtl/>
        </w:rPr>
        <w:t>התשע"ו</w:t>
      </w:r>
      <w:proofErr w:type="spellEnd"/>
      <w:r>
        <w:rPr>
          <w:rFonts w:hint="cs"/>
          <w:rtl/>
        </w:rPr>
        <w:t xml:space="preserve">–2016 </w:t>
      </w:r>
      <w:bookmarkEnd w:id="8"/>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A52A68" w14:paraId="6AE41079" w14:textId="77777777" w:rsidTr="00AC5ED5">
        <w:trPr>
          <w:cantSplit/>
          <w:trHeight w:val="60"/>
        </w:trPr>
        <w:tc>
          <w:tcPr>
            <w:tcW w:w="1871" w:type="dxa"/>
          </w:tcPr>
          <w:p w14:paraId="24258B8E" w14:textId="77777777" w:rsidR="00A52A68" w:rsidRDefault="00A52A68" w:rsidP="00AC5ED5">
            <w:pPr>
              <w:pStyle w:val="TableSideHeading"/>
              <w:keepLines w:val="0"/>
            </w:pPr>
            <w:r>
              <w:rPr>
                <w:rFonts w:hint="cs"/>
                <w:rtl/>
              </w:rPr>
              <w:t>מטרה</w:t>
            </w:r>
          </w:p>
        </w:tc>
        <w:tc>
          <w:tcPr>
            <w:tcW w:w="624" w:type="dxa"/>
          </w:tcPr>
          <w:p w14:paraId="4F6789CC" w14:textId="77777777" w:rsidR="00A52A68" w:rsidRPr="00682B9C" w:rsidRDefault="00A52A68" w:rsidP="00AC5ED5">
            <w:pPr>
              <w:pStyle w:val="TableBlock"/>
            </w:pPr>
            <w:r w:rsidRPr="00682B9C">
              <w:rPr>
                <w:rFonts w:hint="cs"/>
                <w:rtl/>
              </w:rPr>
              <w:t>1.</w:t>
            </w:r>
          </w:p>
        </w:tc>
        <w:tc>
          <w:tcPr>
            <w:tcW w:w="7146" w:type="dxa"/>
            <w:gridSpan w:val="2"/>
          </w:tcPr>
          <w:p w14:paraId="521E2E53" w14:textId="77777777" w:rsidR="00A52A68" w:rsidRPr="00682B9C" w:rsidRDefault="00A52A68" w:rsidP="00AC5ED5">
            <w:pPr>
              <w:pStyle w:val="TableBlock"/>
            </w:pPr>
            <w:r w:rsidRPr="00682B9C">
              <w:rPr>
                <w:rFonts w:hint="cs"/>
                <w:rtl/>
              </w:rPr>
              <w:t>מטרתו של חוק זה, להחיל הסדר אחיד ושוויוני לגבי כל הזכאים לפנסיה תקציבית, בכל הנוגע לשיעור קצבת הפרישה שתשולם להם אם הם מקבלים  גם משכורת מאוצר המדינה, מקופת המעסיק או מקופה ציבורית.</w:t>
            </w:r>
          </w:p>
        </w:tc>
      </w:tr>
      <w:tr w:rsidR="00A52A68" w14:paraId="2170943F" w14:textId="77777777" w:rsidTr="00AC5ED5">
        <w:trPr>
          <w:cantSplit/>
          <w:trHeight w:val="60"/>
        </w:trPr>
        <w:tc>
          <w:tcPr>
            <w:tcW w:w="1871" w:type="dxa"/>
          </w:tcPr>
          <w:p w14:paraId="4A58E87E" w14:textId="77777777" w:rsidR="00A52A68" w:rsidRDefault="00A52A68" w:rsidP="00AC5ED5">
            <w:pPr>
              <w:pStyle w:val="TableSideHeading"/>
              <w:keepLines w:val="0"/>
            </w:pPr>
            <w:r>
              <w:rPr>
                <w:rFonts w:hint="cs"/>
                <w:rtl/>
              </w:rPr>
              <w:t>הגדרות</w:t>
            </w:r>
          </w:p>
        </w:tc>
        <w:tc>
          <w:tcPr>
            <w:tcW w:w="624" w:type="dxa"/>
          </w:tcPr>
          <w:p w14:paraId="4FDC1140" w14:textId="77777777" w:rsidR="00A52A68" w:rsidRPr="00682B9C" w:rsidRDefault="00A52A68" w:rsidP="00AC5ED5">
            <w:pPr>
              <w:pStyle w:val="TableBlock"/>
            </w:pPr>
            <w:r w:rsidRPr="00682B9C">
              <w:rPr>
                <w:rFonts w:hint="cs"/>
                <w:rtl/>
              </w:rPr>
              <w:t>2.</w:t>
            </w:r>
          </w:p>
        </w:tc>
        <w:tc>
          <w:tcPr>
            <w:tcW w:w="7146" w:type="dxa"/>
            <w:gridSpan w:val="2"/>
          </w:tcPr>
          <w:p w14:paraId="488E982B" w14:textId="77777777" w:rsidR="00A52A68" w:rsidRPr="00682B9C" w:rsidRDefault="00A52A68" w:rsidP="00AC5ED5">
            <w:pPr>
              <w:pStyle w:val="TableBlock"/>
            </w:pPr>
            <w:r w:rsidRPr="00682B9C">
              <w:rPr>
                <w:rFonts w:hint="cs"/>
                <w:rtl/>
              </w:rPr>
              <w:t xml:space="preserve">בחוק זה </w:t>
            </w:r>
            <w:r w:rsidRPr="00682B9C">
              <w:rPr>
                <w:rtl/>
              </w:rPr>
              <w:t>–</w:t>
            </w:r>
            <w:r w:rsidRPr="00682B9C">
              <w:rPr>
                <w:rFonts w:hint="cs"/>
                <w:rtl/>
              </w:rPr>
              <w:t xml:space="preserve"> </w:t>
            </w:r>
          </w:p>
        </w:tc>
      </w:tr>
      <w:tr w:rsidR="00A52A68" w14:paraId="38936E8F" w14:textId="77777777" w:rsidTr="00AC5ED5">
        <w:trPr>
          <w:cantSplit/>
          <w:trHeight w:val="60"/>
        </w:trPr>
        <w:tc>
          <w:tcPr>
            <w:tcW w:w="1871" w:type="dxa"/>
          </w:tcPr>
          <w:p w14:paraId="76F3FA91" w14:textId="77777777" w:rsidR="00A52A68" w:rsidRDefault="00A52A68" w:rsidP="00AC5ED5">
            <w:pPr>
              <w:pStyle w:val="TableSideHeading"/>
              <w:keepLines w:val="0"/>
              <w:rPr>
                <w:rtl/>
              </w:rPr>
            </w:pPr>
          </w:p>
        </w:tc>
        <w:tc>
          <w:tcPr>
            <w:tcW w:w="624" w:type="dxa"/>
          </w:tcPr>
          <w:p w14:paraId="08E08A09" w14:textId="77777777" w:rsidR="00A52A68" w:rsidRPr="00682B9C" w:rsidRDefault="00A52A68" w:rsidP="00AC5ED5">
            <w:pPr>
              <w:pStyle w:val="TableBlock"/>
              <w:rPr>
                <w:rtl/>
              </w:rPr>
            </w:pPr>
          </w:p>
        </w:tc>
        <w:tc>
          <w:tcPr>
            <w:tcW w:w="7146" w:type="dxa"/>
            <w:gridSpan w:val="2"/>
          </w:tcPr>
          <w:p w14:paraId="291C2A67" w14:textId="77777777" w:rsidR="00A52A68" w:rsidRPr="00682B9C" w:rsidRDefault="00A52A68" w:rsidP="00AC5ED5">
            <w:pPr>
              <w:pStyle w:val="TableBlockOutdent"/>
              <w:rPr>
                <w:rtl/>
              </w:rPr>
            </w:pPr>
            <w:r w:rsidRPr="00682B9C">
              <w:rPr>
                <w:rFonts w:hint="cs"/>
                <w:rtl/>
              </w:rPr>
              <w:t xml:space="preserve">"זכאי" </w:t>
            </w:r>
            <w:r w:rsidRPr="00682B9C">
              <w:rPr>
                <w:rtl/>
              </w:rPr>
              <w:t>–</w:t>
            </w:r>
            <w:r w:rsidRPr="00682B9C">
              <w:rPr>
                <w:rFonts w:hint="cs"/>
                <w:rtl/>
              </w:rPr>
              <w:t xml:space="preserve"> מי שהועסק אצל מעסיק, לרבות שוטר וסוהר, שהסדר הפנסיה החל לגביו הוא תשלום קצבה, לפי דין או הסכם, מאוצר המדינה או מקופת המעסיק;</w:t>
            </w:r>
          </w:p>
        </w:tc>
      </w:tr>
      <w:tr w:rsidR="00A52A68" w14:paraId="7C6E5740" w14:textId="77777777" w:rsidTr="00AC5ED5">
        <w:trPr>
          <w:cantSplit/>
          <w:trHeight w:val="60"/>
        </w:trPr>
        <w:tc>
          <w:tcPr>
            <w:tcW w:w="1871" w:type="dxa"/>
          </w:tcPr>
          <w:p w14:paraId="0B05462F" w14:textId="77777777" w:rsidR="00A52A68" w:rsidRDefault="00A52A68" w:rsidP="00AC5ED5">
            <w:pPr>
              <w:pStyle w:val="TableSideHeading"/>
              <w:keepLines w:val="0"/>
              <w:rPr>
                <w:rtl/>
              </w:rPr>
            </w:pPr>
          </w:p>
        </w:tc>
        <w:tc>
          <w:tcPr>
            <w:tcW w:w="624" w:type="dxa"/>
          </w:tcPr>
          <w:p w14:paraId="64623191" w14:textId="77777777" w:rsidR="00A52A68" w:rsidRPr="00682B9C" w:rsidRDefault="00A52A68" w:rsidP="00AC5ED5">
            <w:pPr>
              <w:pStyle w:val="TableBlock"/>
              <w:rPr>
                <w:rtl/>
              </w:rPr>
            </w:pPr>
          </w:p>
        </w:tc>
        <w:tc>
          <w:tcPr>
            <w:tcW w:w="7146" w:type="dxa"/>
            <w:gridSpan w:val="2"/>
          </w:tcPr>
          <w:p w14:paraId="2614863B" w14:textId="77777777" w:rsidR="00A52A68" w:rsidRPr="00682B9C" w:rsidRDefault="00A52A68" w:rsidP="00AC5ED5">
            <w:pPr>
              <w:pStyle w:val="TableBlockOutdent"/>
              <w:rPr>
                <w:rtl/>
              </w:rPr>
            </w:pPr>
            <w:r w:rsidRPr="00682B9C">
              <w:rPr>
                <w:rFonts w:hint="cs"/>
                <w:rtl/>
              </w:rPr>
              <w:t xml:space="preserve">"מעסיק" </w:t>
            </w:r>
            <w:r w:rsidRPr="00682B9C">
              <w:rPr>
                <w:rtl/>
              </w:rPr>
              <w:t>–</w:t>
            </w:r>
            <w:r w:rsidRPr="00682B9C">
              <w:rPr>
                <w:rFonts w:hint="cs"/>
                <w:rtl/>
              </w:rPr>
              <w:t xml:space="preserve"> כל אחד מהמפורטים להלן, שהסדר הפנסיה החל לגבי עובדיו, או חלק מהם, הוא תשלום קצבה מאוצר המדינה או מקופתו:</w:t>
            </w:r>
          </w:p>
        </w:tc>
      </w:tr>
      <w:tr w:rsidR="00A52A68" w14:paraId="65A3EA19" w14:textId="77777777" w:rsidTr="00AC5ED5">
        <w:trPr>
          <w:cantSplit/>
          <w:trHeight w:val="60"/>
        </w:trPr>
        <w:tc>
          <w:tcPr>
            <w:tcW w:w="1871" w:type="dxa"/>
          </w:tcPr>
          <w:p w14:paraId="30163FF1" w14:textId="77777777" w:rsidR="00A52A68" w:rsidRDefault="00A52A68" w:rsidP="00AC5ED5">
            <w:pPr>
              <w:pStyle w:val="TableSideHeading"/>
            </w:pPr>
          </w:p>
        </w:tc>
        <w:tc>
          <w:tcPr>
            <w:tcW w:w="624" w:type="dxa"/>
          </w:tcPr>
          <w:p w14:paraId="609FC69B" w14:textId="77777777" w:rsidR="00A52A68" w:rsidRPr="00682B9C" w:rsidRDefault="00A52A68" w:rsidP="00AC5ED5">
            <w:pPr>
              <w:pStyle w:val="TableBlock"/>
            </w:pPr>
          </w:p>
        </w:tc>
        <w:tc>
          <w:tcPr>
            <w:tcW w:w="624" w:type="dxa"/>
          </w:tcPr>
          <w:p w14:paraId="6C932224" w14:textId="77777777" w:rsidR="00A52A68" w:rsidRPr="00682B9C" w:rsidRDefault="00A52A68" w:rsidP="00AC5ED5">
            <w:pPr>
              <w:pStyle w:val="TableBlockOutdent"/>
            </w:pPr>
          </w:p>
        </w:tc>
        <w:tc>
          <w:tcPr>
            <w:tcW w:w="6522" w:type="dxa"/>
          </w:tcPr>
          <w:p w14:paraId="6391A641" w14:textId="77777777" w:rsidR="00A52A68" w:rsidRPr="00682B9C" w:rsidRDefault="00A52A68" w:rsidP="00AC5ED5">
            <w:pPr>
              <w:pStyle w:val="TableBlockOutdent"/>
            </w:pPr>
            <w:r w:rsidRPr="00682B9C">
              <w:rPr>
                <w:rFonts w:hint="cs"/>
                <w:rtl/>
              </w:rPr>
              <w:t>(1)</w:t>
            </w:r>
            <w:r w:rsidRPr="00682B9C">
              <w:rPr>
                <w:rtl/>
              </w:rPr>
              <w:tab/>
            </w:r>
            <w:r w:rsidRPr="00682B9C">
              <w:rPr>
                <w:rFonts w:hint="cs"/>
                <w:rtl/>
              </w:rPr>
              <w:t>המדינה;</w:t>
            </w:r>
          </w:p>
        </w:tc>
      </w:tr>
      <w:tr w:rsidR="00A52A68" w14:paraId="4434C598" w14:textId="77777777" w:rsidTr="00AC5ED5">
        <w:trPr>
          <w:cantSplit/>
          <w:trHeight w:val="60"/>
        </w:trPr>
        <w:tc>
          <w:tcPr>
            <w:tcW w:w="1871" w:type="dxa"/>
          </w:tcPr>
          <w:p w14:paraId="5C589CCB" w14:textId="77777777" w:rsidR="00A52A68" w:rsidRDefault="00A52A68" w:rsidP="00AC5ED5">
            <w:pPr>
              <w:pStyle w:val="TableSideHeading"/>
            </w:pPr>
          </w:p>
        </w:tc>
        <w:tc>
          <w:tcPr>
            <w:tcW w:w="624" w:type="dxa"/>
          </w:tcPr>
          <w:p w14:paraId="4E83FE2C" w14:textId="77777777" w:rsidR="00A52A68" w:rsidRPr="00682B9C" w:rsidRDefault="00A52A68" w:rsidP="00AC5ED5">
            <w:pPr>
              <w:pStyle w:val="TableBlock"/>
            </w:pPr>
          </w:p>
        </w:tc>
        <w:tc>
          <w:tcPr>
            <w:tcW w:w="624" w:type="dxa"/>
          </w:tcPr>
          <w:p w14:paraId="38BAC370" w14:textId="77777777" w:rsidR="00A52A68" w:rsidRPr="00682B9C" w:rsidRDefault="00A52A68" w:rsidP="00AC5ED5">
            <w:pPr>
              <w:pStyle w:val="TableBlockOutdent"/>
            </w:pPr>
          </w:p>
        </w:tc>
        <w:tc>
          <w:tcPr>
            <w:tcW w:w="6522" w:type="dxa"/>
          </w:tcPr>
          <w:p w14:paraId="6FE87747" w14:textId="77777777" w:rsidR="00A52A68" w:rsidRPr="00682B9C" w:rsidRDefault="00A52A68" w:rsidP="00AC5ED5">
            <w:pPr>
              <w:pStyle w:val="TableBlockOutdent"/>
              <w:rPr>
                <w:rtl/>
              </w:rPr>
            </w:pPr>
            <w:r w:rsidRPr="00682B9C">
              <w:rPr>
                <w:rFonts w:hint="cs"/>
                <w:rtl/>
              </w:rPr>
              <w:t>(2)</w:t>
            </w:r>
            <w:r w:rsidRPr="00682B9C">
              <w:rPr>
                <w:rtl/>
              </w:rPr>
              <w:tab/>
            </w:r>
            <w:r w:rsidRPr="00682B9C">
              <w:rPr>
                <w:rFonts w:hint="cs"/>
                <w:rtl/>
              </w:rPr>
              <w:t>גוף מתוקצב וגוף נתמך כהגדרתם בסעיפים 21 ו-32 לחוק יסודות התקציב, התשמ"ה-1985;</w:t>
            </w:r>
          </w:p>
        </w:tc>
      </w:tr>
      <w:tr w:rsidR="00A52A68" w14:paraId="46F911CC" w14:textId="77777777" w:rsidTr="00AC5ED5">
        <w:trPr>
          <w:cantSplit/>
          <w:trHeight w:val="60"/>
        </w:trPr>
        <w:tc>
          <w:tcPr>
            <w:tcW w:w="1871" w:type="dxa"/>
          </w:tcPr>
          <w:p w14:paraId="378D3A27" w14:textId="77777777" w:rsidR="00A52A68" w:rsidRDefault="00A52A68" w:rsidP="00AC5ED5">
            <w:pPr>
              <w:pStyle w:val="TableSideHeading"/>
            </w:pPr>
          </w:p>
        </w:tc>
        <w:tc>
          <w:tcPr>
            <w:tcW w:w="624" w:type="dxa"/>
          </w:tcPr>
          <w:p w14:paraId="3FFCAD27" w14:textId="77777777" w:rsidR="00A52A68" w:rsidRPr="00682B9C" w:rsidRDefault="00A52A68" w:rsidP="00AC5ED5">
            <w:pPr>
              <w:pStyle w:val="TableBlock"/>
            </w:pPr>
          </w:p>
        </w:tc>
        <w:tc>
          <w:tcPr>
            <w:tcW w:w="624" w:type="dxa"/>
          </w:tcPr>
          <w:p w14:paraId="5B8B99D7" w14:textId="77777777" w:rsidR="00A52A68" w:rsidRPr="00682B9C" w:rsidRDefault="00A52A68" w:rsidP="00AC5ED5">
            <w:pPr>
              <w:pStyle w:val="TableBlockOutdent"/>
            </w:pPr>
          </w:p>
        </w:tc>
        <w:tc>
          <w:tcPr>
            <w:tcW w:w="6522" w:type="dxa"/>
          </w:tcPr>
          <w:p w14:paraId="1599C3CB" w14:textId="77777777" w:rsidR="00A52A68" w:rsidRPr="00682B9C" w:rsidRDefault="00A52A68" w:rsidP="00AC5ED5">
            <w:pPr>
              <w:pStyle w:val="TableBlockOutdent"/>
              <w:rPr>
                <w:rtl/>
              </w:rPr>
            </w:pPr>
            <w:r w:rsidRPr="00682B9C">
              <w:rPr>
                <w:rFonts w:hint="cs"/>
                <w:rtl/>
              </w:rPr>
              <w:t>(3)</w:t>
            </w:r>
            <w:r w:rsidRPr="00682B9C">
              <w:rPr>
                <w:rtl/>
              </w:rPr>
              <w:tab/>
            </w:r>
            <w:r w:rsidRPr="00682B9C">
              <w:rPr>
                <w:rFonts w:hint="cs"/>
                <w:rtl/>
              </w:rPr>
              <w:t>גוף אחר שהממשלה משתתפת בתקציבו, במישרין או בעקיפין, וששר האוצר קבע לגביו בהודעה ברשומות כי הוא מעסיק לעניין פרק זה;</w:t>
            </w:r>
          </w:p>
        </w:tc>
      </w:tr>
      <w:tr w:rsidR="00A52A68" w14:paraId="7F7BDA05" w14:textId="77777777" w:rsidTr="00AC5ED5">
        <w:trPr>
          <w:cantSplit/>
          <w:trHeight w:val="60"/>
        </w:trPr>
        <w:tc>
          <w:tcPr>
            <w:tcW w:w="1871" w:type="dxa"/>
          </w:tcPr>
          <w:p w14:paraId="5C2C8AC9" w14:textId="77777777" w:rsidR="00A52A68" w:rsidRDefault="00A52A68" w:rsidP="00AC5ED5">
            <w:pPr>
              <w:pStyle w:val="TableSideHeading"/>
            </w:pPr>
          </w:p>
        </w:tc>
        <w:tc>
          <w:tcPr>
            <w:tcW w:w="624" w:type="dxa"/>
          </w:tcPr>
          <w:p w14:paraId="33D52C65" w14:textId="77777777" w:rsidR="00A52A68" w:rsidRPr="00682B9C" w:rsidRDefault="00A52A68" w:rsidP="00AC5ED5">
            <w:pPr>
              <w:pStyle w:val="TableBlock"/>
            </w:pPr>
          </w:p>
        </w:tc>
        <w:tc>
          <w:tcPr>
            <w:tcW w:w="7146" w:type="dxa"/>
            <w:gridSpan w:val="2"/>
          </w:tcPr>
          <w:p w14:paraId="1414DD56" w14:textId="77777777" w:rsidR="00A52A68" w:rsidRPr="00682B9C" w:rsidRDefault="00A52A68" w:rsidP="00AC5ED5">
            <w:pPr>
              <w:pStyle w:val="TableBlockOutdent"/>
            </w:pPr>
            <w:r w:rsidRPr="00682B9C">
              <w:rPr>
                <w:rFonts w:hint="cs"/>
                <w:rtl/>
              </w:rPr>
              <w:t xml:space="preserve">"משכורת" </w:t>
            </w:r>
            <w:r w:rsidRPr="00682B9C">
              <w:rPr>
                <w:rtl/>
              </w:rPr>
              <w:t>–</w:t>
            </w:r>
            <w:r w:rsidRPr="00682B9C">
              <w:rPr>
                <w:rFonts w:hint="cs"/>
                <w:rtl/>
              </w:rPr>
              <w:t xml:space="preserve"> הכנסת עבודה כמשמעותה בסעיף 2(2) לפקודת מס הכנסה</w:t>
            </w:r>
            <w:r w:rsidRPr="00D46BD0">
              <w:rPr>
                <w:vertAlign w:val="superscript"/>
                <w:rtl/>
              </w:rPr>
              <w:footnoteReference w:id="2"/>
            </w:r>
            <w:r w:rsidRPr="00682B9C">
              <w:rPr>
                <w:rFonts w:hint="cs"/>
                <w:rtl/>
              </w:rPr>
              <w:t>;</w:t>
            </w:r>
          </w:p>
        </w:tc>
      </w:tr>
      <w:tr w:rsidR="00A52A68" w14:paraId="26B90BE0" w14:textId="77777777" w:rsidTr="00AC5ED5">
        <w:trPr>
          <w:cantSplit/>
          <w:trHeight w:val="60"/>
        </w:trPr>
        <w:tc>
          <w:tcPr>
            <w:tcW w:w="1871" w:type="dxa"/>
          </w:tcPr>
          <w:p w14:paraId="4D67F158" w14:textId="77777777" w:rsidR="00A52A68" w:rsidRDefault="00A52A68" w:rsidP="00AC5ED5">
            <w:pPr>
              <w:pStyle w:val="TableSideHeading"/>
            </w:pPr>
          </w:p>
        </w:tc>
        <w:tc>
          <w:tcPr>
            <w:tcW w:w="624" w:type="dxa"/>
          </w:tcPr>
          <w:p w14:paraId="27A29CA7" w14:textId="77777777" w:rsidR="00A52A68" w:rsidRPr="00682B9C" w:rsidRDefault="00A52A68" w:rsidP="00AC5ED5">
            <w:pPr>
              <w:pStyle w:val="TableBlock"/>
            </w:pPr>
          </w:p>
        </w:tc>
        <w:tc>
          <w:tcPr>
            <w:tcW w:w="7146" w:type="dxa"/>
            <w:gridSpan w:val="2"/>
          </w:tcPr>
          <w:p w14:paraId="24608AC9" w14:textId="77777777" w:rsidR="00A52A68" w:rsidRPr="00682B9C" w:rsidRDefault="00A52A68" w:rsidP="00AC5ED5">
            <w:pPr>
              <w:pStyle w:val="TableBlockOutdent"/>
              <w:rPr>
                <w:rtl/>
              </w:rPr>
            </w:pPr>
            <w:r w:rsidRPr="00682B9C">
              <w:rPr>
                <w:rFonts w:hint="cs"/>
                <w:rtl/>
              </w:rPr>
              <w:t xml:space="preserve">"משכורת קובעת" </w:t>
            </w:r>
            <w:r w:rsidRPr="00682B9C">
              <w:rPr>
                <w:rtl/>
              </w:rPr>
              <w:t>–</w:t>
            </w:r>
            <w:r w:rsidRPr="00682B9C">
              <w:rPr>
                <w:rFonts w:hint="cs"/>
                <w:rtl/>
              </w:rPr>
              <w:t xml:space="preserve"> המשכורת הקובעת המשוקללת שלפיה מחושבת כל קצבה המשכו</w:t>
            </w:r>
            <w:r w:rsidRPr="00682B9C">
              <w:rPr>
                <w:rtl/>
              </w:rPr>
              <w:t>רת ש</w:t>
            </w:r>
            <w:r w:rsidRPr="00682B9C">
              <w:rPr>
                <w:rFonts w:hint="cs"/>
                <w:rtl/>
              </w:rPr>
              <w:t xml:space="preserve">לפיה מחושבות הגמלאות האחרות, </w:t>
            </w:r>
            <w:proofErr w:type="spellStart"/>
            <w:r w:rsidRPr="00682B9C">
              <w:rPr>
                <w:rFonts w:hint="cs"/>
                <w:rtl/>
              </w:rPr>
              <w:t>הכל</w:t>
            </w:r>
            <w:proofErr w:type="spellEnd"/>
            <w:r w:rsidRPr="00682B9C">
              <w:rPr>
                <w:rFonts w:hint="cs"/>
                <w:rtl/>
              </w:rPr>
              <w:t xml:space="preserve"> לפי המשכורת הגבוהה יותר;</w:t>
            </w:r>
          </w:p>
        </w:tc>
      </w:tr>
      <w:tr w:rsidR="00A52A68" w14:paraId="73197E81" w14:textId="77777777" w:rsidTr="00AC5ED5">
        <w:trPr>
          <w:cantSplit/>
          <w:trHeight w:val="60"/>
        </w:trPr>
        <w:tc>
          <w:tcPr>
            <w:tcW w:w="1871" w:type="dxa"/>
          </w:tcPr>
          <w:p w14:paraId="24095576" w14:textId="77777777" w:rsidR="00A52A68" w:rsidRDefault="00A52A68" w:rsidP="00AC5ED5">
            <w:pPr>
              <w:pStyle w:val="TableSideHeading"/>
            </w:pPr>
          </w:p>
        </w:tc>
        <w:tc>
          <w:tcPr>
            <w:tcW w:w="624" w:type="dxa"/>
          </w:tcPr>
          <w:p w14:paraId="1520557A" w14:textId="77777777" w:rsidR="00A52A68" w:rsidRPr="00682B9C" w:rsidRDefault="00A52A68" w:rsidP="00AC5ED5">
            <w:pPr>
              <w:pStyle w:val="TableBlock"/>
            </w:pPr>
          </w:p>
        </w:tc>
        <w:tc>
          <w:tcPr>
            <w:tcW w:w="7146" w:type="dxa"/>
            <w:gridSpan w:val="2"/>
          </w:tcPr>
          <w:p w14:paraId="147BF959" w14:textId="77777777" w:rsidR="00A52A68" w:rsidRPr="00682B9C" w:rsidRDefault="00A52A68" w:rsidP="00AC5ED5">
            <w:pPr>
              <w:pStyle w:val="TableBlockOutdent"/>
              <w:rPr>
                <w:rtl/>
              </w:rPr>
            </w:pPr>
            <w:r w:rsidRPr="00682B9C">
              <w:rPr>
                <w:rFonts w:hint="cs"/>
                <w:rtl/>
              </w:rPr>
              <w:t xml:space="preserve">"משכורת קיימת" </w:t>
            </w:r>
            <w:r w:rsidRPr="00682B9C">
              <w:rPr>
                <w:rtl/>
              </w:rPr>
              <w:t>–</w:t>
            </w:r>
            <w:r w:rsidRPr="00682B9C">
              <w:rPr>
                <w:rFonts w:hint="cs"/>
                <w:rtl/>
              </w:rPr>
              <w:t xml:space="preserve"> המשכורת שמקבל הזכאי לקצבה מאוצר המדינה, מקופת המעסיק או מקופה ציבורית;</w:t>
            </w:r>
          </w:p>
        </w:tc>
      </w:tr>
      <w:tr w:rsidR="00A52A68" w14:paraId="6906C137" w14:textId="77777777" w:rsidTr="00AC5ED5">
        <w:trPr>
          <w:cantSplit/>
          <w:trHeight w:val="60"/>
        </w:trPr>
        <w:tc>
          <w:tcPr>
            <w:tcW w:w="1871" w:type="dxa"/>
          </w:tcPr>
          <w:p w14:paraId="34171D64" w14:textId="77777777" w:rsidR="00A52A68" w:rsidRDefault="00A52A68" w:rsidP="00AC5ED5">
            <w:pPr>
              <w:pStyle w:val="TableSideHeading"/>
              <w:keepLines w:val="0"/>
              <w:rPr>
                <w:rtl/>
              </w:rPr>
            </w:pPr>
          </w:p>
        </w:tc>
        <w:tc>
          <w:tcPr>
            <w:tcW w:w="624" w:type="dxa"/>
          </w:tcPr>
          <w:p w14:paraId="75CF48D6" w14:textId="77777777" w:rsidR="00A52A68" w:rsidRPr="00682B9C" w:rsidRDefault="00A52A68" w:rsidP="00AC5ED5">
            <w:pPr>
              <w:pStyle w:val="TableBlock"/>
              <w:rPr>
                <w:rtl/>
              </w:rPr>
            </w:pPr>
          </w:p>
        </w:tc>
        <w:tc>
          <w:tcPr>
            <w:tcW w:w="7146" w:type="dxa"/>
            <w:gridSpan w:val="2"/>
          </w:tcPr>
          <w:p w14:paraId="2C2A2CD5" w14:textId="77777777" w:rsidR="00A52A68" w:rsidRPr="00682B9C" w:rsidRDefault="00A52A68" w:rsidP="00AC5ED5">
            <w:pPr>
              <w:pStyle w:val="TableBlockOutdent"/>
              <w:rPr>
                <w:rtl/>
              </w:rPr>
            </w:pPr>
            <w:r w:rsidRPr="00682B9C">
              <w:rPr>
                <w:rFonts w:hint="cs"/>
                <w:rtl/>
              </w:rPr>
              <w:t xml:space="preserve">"קופה ציבורית" </w:t>
            </w:r>
            <w:r w:rsidRPr="00682B9C">
              <w:rPr>
                <w:rtl/>
              </w:rPr>
              <w:t>–</w:t>
            </w:r>
            <w:r w:rsidRPr="00682B9C">
              <w:rPr>
                <w:rFonts w:hint="cs"/>
                <w:rtl/>
              </w:rPr>
              <w:t xml:space="preserve"> כל קופה אחרת שנקבע לגביה בתקנות כי היא קופה ציבורית;</w:t>
            </w:r>
          </w:p>
        </w:tc>
      </w:tr>
      <w:tr w:rsidR="00A52A68" w14:paraId="1995956B" w14:textId="77777777" w:rsidTr="00AC5ED5">
        <w:trPr>
          <w:cantSplit/>
          <w:trHeight w:val="60"/>
        </w:trPr>
        <w:tc>
          <w:tcPr>
            <w:tcW w:w="1871" w:type="dxa"/>
          </w:tcPr>
          <w:p w14:paraId="432F5304" w14:textId="77777777" w:rsidR="00A52A68" w:rsidRDefault="00A52A68" w:rsidP="00AC5ED5">
            <w:pPr>
              <w:pStyle w:val="TableSideHeading"/>
              <w:keepLines w:val="0"/>
              <w:rPr>
                <w:rtl/>
              </w:rPr>
            </w:pPr>
          </w:p>
        </w:tc>
        <w:tc>
          <w:tcPr>
            <w:tcW w:w="624" w:type="dxa"/>
          </w:tcPr>
          <w:p w14:paraId="099099D9" w14:textId="77777777" w:rsidR="00A52A68" w:rsidRPr="00682B9C" w:rsidRDefault="00A52A68" w:rsidP="00AC5ED5">
            <w:pPr>
              <w:pStyle w:val="TableBlock"/>
              <w:rPr>
                <w:rtl/>
              </w:rPr>
            </w:pPr>
          </w:p>
        </w:tc>
        <w:tc>
          <w:tcPr>
            <w:tcW w:w="7146" w:type="dxa"/>
            <w:gridSpan w:val="2"/>
          </w:tcPr>
          <w:p w14:paraId="0B6AC1B3" w14:textId="77777777" w:rsidR="00A52A68" w:rsidRPr="00682B9C" w:rsidRDefault="00A52A68" w:rsidP="00AC5ED5">
            <w:pPr>
              <w:pStyle w:val="TableBlockOutdent"/>
              <w:rPr>
                <w:rtl/>
              </w:rPr>
            </w:pPr>
            <w:r w:rsidRPr="00682B9C">
              <w:rPr>
                <w:rFonts w:hint="cs"/>
                <w:rtl/>
              </w:rPr>
              <w:t xml:space="preserve">"קצבה" </w:t>
            </w:r>
            <w:r w:rsidRPr="00682B9C">
              <w:rPr>
                <w:rtl/>
              </w:rPr>
              <w:t>–</w:t>
            </w:r>
            <w:r>
              <w:rPr>
                <w:rFonts w:hint="cs"/>
                <w:rtl/>
              </w:rPr>
              <w:t xml:space="preserve"> סכום המשתלם מדי חודש לעובד </w:t>
            </w:r>
            <w:r w:rsidRPr="00682B9C">
              <w:rPr>
                <w:rFonts w:hint="cs"/>
                <w:rtl/>
              </w:rPr>
              <w:t>שפרש לגמלאות;</w:t>
            </w:r>
          </w:p>
        </w:tc>
      </w:tr>
      <w:tr w:rsidR="00A52A68" w14:paraId="22C988A5" w14:textId="77777777" w:rsidTr="00AC5ED5">
        <w:trPr>
          <w:cantSplit/>
          <w:trHeight w:val="60"/>
        </w:trPr>
        <w:tc>
          <w:tcPr>
            <w:tcW w:w="1871" w:type="dxa"/>
          </w:tcPr>
          <w:p w14:paraId="1A91F5DA" w14:textId="77777777" w:rsidR="00A52A68" w:rsidRDefault="00A52A68" w:rsidP="00AC5ED5">
            <w:pPr>
              <w:pStyle w:val="TableSideHeading"/>
              <w:keepLines w:val="0"/>
              <w:rPr>
                <w:rtl/>
              </w:rPr>
            </w:pPr>
          </w:p>
        </w:tc>
        <w:tc>
          <w:tcPr>
            <w:tcW w:w="624" w:type="dxa"/>
          </w:tcPr>
          <w:p w14:paraId="6C9166B6" w14:textId="77777777" w:rsidR="00A52A68" w:rsidRPr="00682B9C" w:rsidRDefault="00A52A68" w:rsidP="00AC5ED5">
            <w:pPr>
              <w:pStyle w:val="TableBlock"/>
              <w:rPr>
                <w:rtl/>
              </w:rPr>
            </w:pPr>
          </w:p>
        </w:tc>
        <w:tc>
          <w:tcPr>
            <w:tcW w:w="7146" w:type="dxa"/>
            <w:gridSpan w:val="2"/>
          </w:tcPr>
          <w:p w14:paraId="211E4F00" w14:textId="77777777" w:rsidR="00A52A68" w:rsidRPr="00682B9C" w:rsidRDefault="00A52A68" w:rsidP="00AC5ED5">
            <w:pPr>
              <w:pStyle w:val="TableBlockOutdent"/>
              <w:rPr>
                <w:rtl/>
              </w:rPr>
            </w:pPr>
            <w:r w:rsidRPr="00682B9C">
              <w:rPr>
                <w:rFonts w:hint="cs"/>
                <w:rtl/>
              </w:rPr>
              <w:t xml:space="preserve">"שיעור הקצבה המקורי" </w:t>
            </w:r>
            <w:r w:rsidRPr="00682B9C">
              <w:rPr>
                <w:rtl/>
              </w:rPr>
              <w:t>–</w:t>
            </w:r>
            <w:r w:rsidRPr="00682B9C">
              <w:rPr>
                <w:rFonts w:hint="cs"/>
                <w:rtl/>
              </w:rPr>
              <w:t xml:space="preserve"> שיעור הקצבה שהיה זכאי לה הזכאי לקצבה אלמלא הוראות חוק זה.</w:t>
            </w:r>
          </w:p>
        </w:tc>
      </w:tr>
      <w:tr w:rsidR="00A52A68" w14:paraId="59BBAE8F" w14:textId="77777777" w:rsidTr="00AC5ED5">
        <w:trPr>
          <w:cantSplit/>
          <w:trHeight w:val="60"/>
        </w:trPr>
        <w:tc>
          <w:tcPr>
            <w:tcW w:w="1871" w:type="dxa"/>
          </w:tcPr>
          <w:p w14:paraId="288BED05" w14:textId="77777777" w:rsidR="00A52A68" w:rsidRDefault="00A52A68" w:rsidP="00AC5ED5">
            <w:pPr>
              <w:pStyle w:val="TableSideHeading"/>
              <w:keepLines w:val="0"/>
              <w:rPr>
                <w:rtl/>
              </w:rPr>
            </w:pPr>
            <w:r>
              <w:rPr>
                <w:rFonts w:hint="cs"/>
                <w:rtl/>
              </w:rPr>
              <w:t>קצבה ומשכורת</w:t>
            </w:r>
          </w:p>
        </w:tc>
        <w:tc>
          <w:tcPr>
            <w:tcW w:w="624" w:type="dxa"/>
          </w:tcPr>
          <w:p w14:paraId="1B10B2CF" w14:textId="77777777" w:rsidR="00A52A68" w:rsidRPr="00682B9C" w:rsidRDefault="00A52A68" w:rsidP="00AC5ED5">
            <w:pPr>
              <w:pStyle w:val="TableBlock"/>
              <w:rPr>
                <w:rtl/>
              </w:rPr>
            </w:pPr>
            <w:r w:rsidRPr="00682B9C">
              <w:rPr>
                <w:rFonts w:hint="cs"/>
                <w:rtl/>
              </w:rPr>
              <w:t>3.</w:t>
            </w:r>
          </w:p>
        </w:tc>
        <w:tc>
          <w:tcPr>
            <w:tcW w:w="7146" w:type="dxa"/>
            <w:gridSpan w:val="2"/>
          </w:tcPr>
          <w:p w14:paraId="6AA86871" w14:textId="77777777" w:rsidR="00A52A68" w:rsidRPr="00682B9C" w:rsidRDefault="00A52A68" w:rsidP="00AC5ED5">
            <w:pPr>
              <w:pStyle w:val="TableBlock"/>
              <w:rPr>
                <w:rtl/>
              </w:rPr>
            </w:pPr>
            <w:r w:rsidRPr="00682B9C">
              <w:rPr>
                <w:rFonts w:hint="cs"/>
                <w:rtl/>
              </w:rPr>
              <w:t>(א)</w:t>
            </w:r>
            <w:r w:rsidRPr="00682B9C">
              <w:rPr>
                <w:rtl/>
              </w:rPr>
              <w:tab/>
            </w:r>
            <w:r w:rsidRPr="00682B9C">
              <w:rPr>
                <w:rFonts w:hint="cs"/>
                <w:rtl/>
              </w:rPr>
              <w:t>זכאי לקצבה המקבל גם משכורת קיימת תשולם לו קצבה, על אף האמור בכל דין, כמפורט להלן:</w:t>
            </w:r>
          </w:p>
        </w:tc>
      </w:tr>
      <w:tr w:rsidR="00A52A68" w14:paraId="0B900709" w14:textId="77777777" w:rsidTr="00AC5ED5">
        <w:trPr>
          <w:cantSplit/>
          <w:trHeight w:val="60"/>
        </w:trPr>
        <w:tc>
          <w:tcPr>
            <w:tcW w:w="1871" w:type="dxa"/>
          </w:tcPr>
          <w:p w14:paraId="1024994A" w14:textId="77777777" w:rsidR="00A52A68" w:rsidRDefault="00A52A68" w:rsidP="00AC5ED5">
            <w:pPr>
              <w:pStyle w:val="TableSideHeading"/>
            </w:pPr>
          </w:p>
        </w:tc>
        <w:tc>
          <w:tcPr>
            <w:tcW w:w="624" w:type="dxa"/>
          </w:tcPr>
          <w:p w14:paraId="67197097" w14:textId="77777777" w:rsidR="00A52A68" w:rsidRPr="00682B9C" w:rsidRDefault="00A52A68" w:rsidP="00AC5ED5">
            <w:pPr>
              <w:pStyle w:val="TableBlock"/>
            </w:pPr>
          </w:p>
        </w:tc>
        <w:tc>
          <w:tcPr>
            <w:tcW w:w="624" w:type="dxa"/>
          </w:tcPr>
          <w:p w14:paraId="56014059" w14:textId="77777777" w:rsidR="00A52A68" w:rsidRPr="00682B9C" w:rsidRDefault="00A52A68" w:rsidP="00AC5ED5">
            <w:pPr>
              <w:pStyle w:val="TableBlock"/>
            </w:pPr>
          </w:p>
        </w:tc>
        <w:tc>
          <w:tcPr>
            <w:tcW w:w="6522" w:type="dxa"/>
          </w:tcPr>
          <w:p w14:paraId="090E7AF7" w14:textId="77777777" w:rsidR="00A52A68" w:rsidRPr="00682B9C" w:rsidRDefault="00A52A68" w:rsidP="00AC5ED5">
            <w:pPr>
              <w:pStyle w:val="TableBlock"/>
            </w:pPr>
            <w:r w:rsidRPr="00682B9C">
              <w:rPr>
                <w:rFonts w:hint="cs"/>
                <w:rtl/>
              </w:rPr>
              <w:t>(1)</w:t>
            </w:r>
            <w:r w:rsidRPr="00682B9C">
              <w:rPr>
                <w:rtl/>
              </w:rPr>
              <w:tab/>
            </w:r>
            <w:r w:rsidRPr="00682B9C">
              <w:rPr>
                <w:rFonts w:hint="cs"/>
                <w:rtl/>
              </w:rPr>
              <w:t>שיעור הקצבה ייקבע בתקנות בהתחשב בגילו, במשכורתו הקיימת, במשכורתו הקובעת ובשיעור הקצבה המקורי של הזכאי לקצבה;</w:t>
            </w:r>
          </w:p>
        </w:tc>
      </w:tr>
      <w:tr w:rsidR="00A52A68" w14:paraId="5BE7D2C8" w14:textId="77777777" w:rsidTr="00AC5ED5">
        <w:trPr>
          <w:cantSplit/>
          <w:trHeight w:val="60"/>
        </w:trPr>
        <w:tc>
          <w:tcPr>
            <w:tcW w:w="1871" w:type="dxa"/>
          </w:tcPr>
          <w:p w14:paraId="2F6AABAD" w14:textId="77777777" w:rsidR="00A52A68" w:rsidRDefault="00A52A68" w:rsidP="00AC5ED5">
            <w:pPr>
              <w:pStyle w:val="TableSideHeading"/>
            </w:pPr>
          </w:p>
        </w:tc>
        <w:tc>
          <w:tcPr>
            <w:tcW w:w="624" w:type="dxa"/>
          </w:tcPr>
          <w:p w14:paraId="2A48E9A9" w14:textId="77777777" w:rsidR="00A52A68" w:rsidRPr="00682B9C" w:rsidRDefault="00A52A68" w:rsidP="00AC5ED5">
            <w:pPr>
              <w:pStyle w:val="TableBlock"/>
            </w:pPr>
          </w:p>
        </w:tc>
        <w:tc>
          <w:tcPr>
            <w:tcW w:w="624" w:type="dxa"/>
          </w:tcPr>
          <w:p w14:paraId="4A38BBC1" w14:textId="77777777" w:rsidR="00A52A68" w:rsidRPr="00682B9C" w:rsidRDefault="00A52A68" w:rsidP="00AC5ED5">
            <w:pPr>
              <w:pStyle w:val="TableBlock"/>
            </w:pPr>
          </w:p>
        </w:tc>
        <w:tc>
          <w:tcPr>
            <w:tcW w:w="6522" w:type="dxa"/>
          </w:tcPr>
          <w:p w14:paraId="7D87C043" w14:textId="77777777" w:rsidR="00A52A68" w:rsidRPr="00682B9C" w:rsidRDefault="00A52A68" w:rsidP="00AC5ED5">
            <w:pPr>
              <w:pStyle w:val="TableBlock"/>
              <w:rPr>
                <w:rtl/>
              </w:rPr>
            </w:pPr>
            <w:r w:rsidRPr="00682B9C">
              <w:rPr>
                <w:rFonts w:hint="cs"/>
                <w:rtl/>
              </w:rPr>
              <w:t>(2)</w:t>
            </w:r>
            <w:r w:rsidRPr="00682B9C">
              <w:rPr>
                <w:rtl/>
              </w:rPr>
              <w:tab/>
            </w:r>
            <w:r w:rsidRPr="00682B9C">
              <w:rPr>
                <w:rFonts w:hint="cs"/>
                <w:rtl/>
              </w:rPr>
              <w:t>שיעור הקצבה כפי שיקבע בפסקה (1) יהיה ש</w:t>
            </w:r>
            <w:r>
              <w:rPr>
                <w:rFonts w:hint="cs"/>
                <w:rtl/>
              </w:rPr>
              <w:t>וויוני ואחיד לגבי כל זכאי לקצבה.</w:t>
            </w:r>
          </w:p>
        </w:tc>
      </w:tr>
      <w:tr w:rsidR="00A52A68" w14:paraId="665771F8" w14:textId="77777777" w:rsidTr="00AC5ED5">
        <w:trPr>
          <w:cantSplit/>
          <w:trHeight w:val="60"/>
        </w:trPr>
        <w:tc>
          <w:tcPr>
            <w:tcW w:w="1871" w:type="dxa"/>
          </w:tcPr>
          <w:p w14:paraId="678E3A04" w14:textId="77777777" w:rsidR="00A52A68" w:rsidRDefault="00A52A68" w:rsidP="00AC5ED5">
            <w:pPr>
              <w:pStyle w:val="TableSideHeading"/>
            </w:pPr>
          </w:p>
        </w:tc>
        <w:tc>
          <w:tcPr>
            <w:tcW w:w="624" w:type="dxa"/>
          </w:tcPr>
          <w:p w14:paraId="565492DA" w14:textId="77777777" w:rsidR="00A52A68" w:rsidRPr="00682B9C" w:rsidRDefault="00A52A68" w:rsidP="00AC5ED5">
            <w:pPr>
              <w:pStyle w:val="TableBlock"/>
            </w:pPr>
          </w:p>
        </w:tc>
        <w:tc>
          <w:tcPr>
            <w:tcW w:w="7146" w:type="dxa"/>
            <w:gridSpan w:val="2"/>
          </w:tcPr>
          <w:p w14:paraId="0592A884" w14:textId="77777777" w:rsidR="00A52A68" w:rsidRPr="00682B9C" w:rsidRDefault="00A52A68" w:rsidP="00AC5ED5">
            <w:pPr>
              <w:pStyle w:val="TableBlock"/>
            </w:pPr>
            <w:r w:rsidRPr="00682B9C">
              <w:rPr>
                <w:rFonts w:hint="cs"/>
                <w:rtl/>
              </w:rPr>
              <w:t>(ב)</w:t>
            </w:r>
            <w:r w:rsidRPr="00682B9C">
              <w:rPr>
                <w:rtl/>
              </w:rPr>
              <w:tab/>
            </w:r>
            <w:r w:rsidRPr="00682B9C">
              <w:rPr>
                <w:rFonts w:hint="cs"/>
                <w:rtl/>
              </w:rPr>
              <w:t>בתקנות כאמור בסעיף קטן (א) רשאי השר להתחשב באלה:</w:t>
            </w:r>
          </w:p>
        </w:tc>
      </w:tr>
      <w:tr w:rsidR="00A52A68" w14:paraId="3E9684A4" w14:textId="77777777" w:rsidTr="00AC5ED5">
        <w:trPr>
          <w:cantSplit/>
          <w:trHeight w:val="60"/>
        </w:trPr>
        <w:tc>
          <w:tcPr>
            <w:tcW w:w="1871" w:type="dxa"/>
          </w:tcPr>
          <w:p w14:paraId="43BC22C4" w14:textId="77777777" w:rsidR="00A52A68" w:rsidRDefault="00A52A68" w:rsidP="00AC5ED5">
            <w:pPr>
              <w:pStyle w:val="TableSideHeading"/>
            </w:pPr>
          </w:p>
        </w:tc>
        <w:tc>
          <w:tcPr>
            <w:tcW w:w="624" w:type="dxa"/>
          </w:tcPr>
          <w:p w14:paraId="238E93B8" w14:textId="77777777" w:rsidR="00A52A68" w:rsidRPr="00682B9C" w:rsidRDefault="00A52A68" w:rsidP="00AC5ED5">
            <w:pPr>
              <w:pStyle w:val="TableBlock"/>
            </w:pPr>
          </w:p>
        </w:tc>
        <w:tc>
          <w:tcPr>
            <w:tcW w:w="624" w:type="dxa"/>
          </w:tcPr>
          <w:p w14:paraId="2FC5BD81" w14:textId="77777777" w:rsidR="00A52A68" w:rsidRPr="00682B9C" w:rsidRDefault="00A52A68" w:rsidP="00AC5ED5">
            <w:pPr>
              <w:pStyle w:val="TableBlock"/>
            </w:pPr>
          </w:p>
        </w:tc>
        <w:tc>
          <w:tcPr>
            <w:tcW w:w="6522" w:type="dxa"/>
          </w:tcPr>
          <w:p w14:paraId="5003D887" w14:textId="77777777" w:rsidR="00A52A68" w:rsidRPr="00682B9C" w:rsidRDefault="00A52A68" w:rsidP="00AC5ED5">
            <w:pPr>
              <w:pStyle w:val="TableBlock"/>
            </w:pPr>
            <w:r w:rsidRPr="00682B9C">
              <w:rPr>
                <w:rFonts w:hint="cs"/>
                <w:rtl/>
              </w:rPr>
              <w:t>(1)</w:t>
            </w:r>
            <w:r w:rsidRPr="00682B9C">
              <w:rPr>
                <w:rtl/>
              </w:rPr>
              <w:tab/>
            </w:r>
            <w:r w:rsidRPr="00682B9C">
              <w:rPr>
                <w:rFonts w:hint="cs"/>
                <w:rtl/>
              </w:rPr>
              <w:t>זכאי לקצבה שהועסק</w:t>
            </w:r>
            <w:r w:rsidRPr="00682B9C">
              <w:rPr>
                <w:rtl/>
              </w:rPr>
              <w:t xml:space="preserve"> </w:t>
            </w:r>
            <w:r w:rsidRPr="00682B9C">
              <w:rPr>
                <w:rFonts w:hint="cs"/>
                <w:rtl/>
              </w:rPr>
              <w:t>ב</w:t>
            </w:r>
            <w:r w:rsidRPr="00682B9C">
              <w:rPr>
                <w:rtl/>
              </w:rPr>
              <w:t>כ</w:t>
            </w:r>
            <w:r w:rsidRPr="00682B9C">
              <w:rPr>
                <w:rFonts w:hint="cs"/>
                <w:rtl/>
              </w:rPr>
              <w:t>ל תקופת שירותו או בחלק ממנה במשרה חלקית</w:t>
            </w:r>
            <w:r w:rsidRPr="00682B9C">
              <w:rPr>
                <w:rtl/>
              </w:rPr>
              <w:t xml:space="preserve"> </w:t>
            </w:r>
            <w:r w:rsidRPr="00682B9C">
              <w:rPr>
                <w:rFonts w:hint="cs"/>
                <w:rtl/>
              </w:rPr>
              <w:t xml:space="preserve"> וחלות עליו הוראות סעיף 12 לחוק שירות המדינה (</w:t>
            </w:r>
            <w:proofErr w:type="spellStart"/>
            <w:r w:rsidRPr="00682B9C">
              <w:rPr>
                <w:rFonts w:hint="cs"/>
                <w:rtl/>
              </w:rPr>
              <w:t>גימלאות</w:t>
            </w:r>
            <w:proofErr w:type="spellEnd"/>
            <w:r w:rsidRPr="00682B9C">
              <w:rPr>
                <w:rFonts w:hint="cs"/>
                <w:rtl/>
              </w:rPr>
              <w:t xml:space="preserve">) [נוסח משולב], </w:t>
            </w:r>
            <w:proofErr w:type="spellStart"/>
            <w:r w:rsidRPr="00682B9C">
              <w:rPr>
                <w:rFonts w:hint="cs"/>
                <w:rtl/>
              </w:rPr>
              <w:t>התש"ל</w:t>
            </w:r>
            <w:proofErr w:type="spellEnd"/>
            <w:r w:rsidRPr="00682B9C">
              <w:rPr>
                <w:rtl/>
              </w:rPr>
              <w:t>–</w:t>
            </w:r>
            <w:r w:rsidRPr="00682B9C">
              <w:rPr>
                <w:rFonts w:hint="cs"/>
                <w:rtl/>
              </w:rPr>
              <w:t>1970</w:t>
            </w:r>
            <w:r w:rsidRPr="00682B9C">
              <w:rPr>
                <w:vertAlign w:val="superscript"/>
                <w:rtl/>
              </w:rPr>
              <w:footnoteReference w:id="3"/>
            </w:r>
            <w:r w:rsidRPr="00682B9C">
              <w:rPr>
                <w:rFonts w:hint="cs"/>
                <w:rtl/>
              </w:rPr>
              <w:t>;</w:t>
            </w:r>
          </w:p>
        </w:tc>
      </w:tr>
      <w:tr w:rsidR="00A52A68" w14:paraId="65DD9A98" w14:textId="77777777" w:rsidTr="00AC5ED5">
        <w:trPr>
          <w:cantSplit/>
          <w:trHeight w:val="60"/>
        </w:trPr>
        <w:tc>
          <w:tcPr>
            <w:tcW w:w="1871" w:type="dxa"/>
          </w:tcPr>
          <w:p w14:paraId="2F6B5A00" w14:textId="77777777" w:rsidR="00A52A68" w:rsidRDefault="00A52A68" w:rsidP="00AC5ED5">
            <w:pPr>
              <w:pStyle w:val="TableSideHeading"/>
            </w:pPr>
          </w:p>
        </w:tc>
        <w:tc>
          <w:tcPr>
            <w:tcW w:w="624" w:type="dxa"/>
          </w:tcPr>
          <w:p w14:paraId="44688459" w14:textId="77777777" w:rsidR="00A52A68" w:rsidRPr="00682B9C" w:rsidRDefault="00A52A68" w:rsidP="00AC5ED5">
            <w:pPr>
              <w:pStyle w:val="TableBlock"/>
            </w:pPr>
          </w:p>
        </w:tc>
        <w:tc>
          <w:tcPr>
            <w:tcW w:w="624" w:type="dxa"/>
          </w:tcPr>
          <w:p w14:paraId="78AA15B5" w14:textId="77777777" w:rsidR="00A52A68" w:rsidRPr="00682B9C" w:rsidRDefault="00A52A68" w:rsidP="00AC5ED5">
            <w:pPr>
              <w:pStyle w:val="TableBlock"/>
            </w:pPr>
          </w:p>
        </w:tc>
        <w:tc>
          <w:tcPr>
            <w:tcW w:w="6522" w:type="dxa"/>
          </w:tcPr>
          <w:p w14:paraId="300FB69E" w14:textId="77777777" w:rsidR="00A52A68" w:rsidRPr="00682B9C" w:rsidRDefault="00A52A68" w:rsidP="00AC5ED5">
            <w:pPr>
              <w:pStyle w:val="TableBlock"/>
              <w:rPr>
                <w:rtl/>
              </w:rPr>
            </w:pPr>
            <w:r w:rsidRPr="00682B9C">
              <w:rPr>
                <w:rFonts w:hint="cs"/>
                <w:rtl/>
              </w:rPr>
              <w:t>(2)</w:t>
            </w:r>
            <w:r w:rsidRPr="00682B9C">
              <w:rPr>
                <w:rtl/>
              </w:rPr>
              <w:tab/>
              <w:t>זכא</w:t>
            </w:r>
            <w:r w:rsidRPr="00682B9C">
              <w:rPr>
                <w:rFonts w:hint="cs"/>
                <w:rtl/>
              </w:rPr>
              <w:t>י לקצבה שתכוף לפני פ</w:t>
            </w:r>
            <w:r w:rsidRPr="00682B9C">
              <w:rPr>
                <w:rtl/>
              </w:rPr>
              <w:t>רי</w:t>
            </w:r>
            <w:r w:rsidRPr="00682B9C">
              <w:rPr>
                <w:rFonts w:hint="cs"/>
                <w:rtl/>
              </w:rPr>
              <w:t>שתו עבד במשרה חלקית ו</w:t>
            </w:r>
            <w:r w:rsidRPr="00682B9C">
              <w:rPr>
                <w:rtl/>
              </w:rPr>
              <w:t>ערב</w:t>
            </w:r>
            <w:r w:rsidRPr="00682B9C">
              <w:rPr>
                <w:rFonts w:hint="cs"/>
                <w:rtl/>
              </w:rPr>
              <w:t xml:space="preserve"> פ</w:t>
            </w:r>
            <w:r w:rsidRPr="00682B9C">
              <w:rPr>
                <w:rtl/>
              </w:rPr>
              <w:t>רישת</w:t>
            </w:r>
            <w:r w:rsidRPr="00682B9C">
              <w:rPr>
                <w:rFonts w:hint="cs"/>
                <w:rtl/>
              </w:rPr>
              <w:t xml:space="preserve">ו עבד במשרה נוספת בשירות המדינה או אצל מעסיק, או </w:t>
            </w:r>
            <w:r w:rsidRPr="00682B9C">
              <w:rPr>
                <w:rtl/>
              </w:rPr>
              <w:t>הוא</w:t>
            </w:r>
            <w:r w:rsidRPr="00682B9C">
              <w:rPr>
                <w:rFonts w:hint="cs"/>
                <w:rtl/>
              </w:rPr>
              <w:t xml:space="preserve"> מוסיף לעבוד במשרה כאמור</w:t>
            </w:r>
            <w:r>
              <w:rPr>
                <w:rFonts w:hint="cs"/>
                <w:rtl/>
              </w:rPr>
              <w:t>;</w:t>
            </w:r>
          </w:p>
        </w:tc>
      </w:tr>
      <w:tr w:rsidR="00A52A68" w14:paraId="165B69FB" w14:textId="77777777" w:rsidTr="00AC5ED5">
        <w:trPr>
          <w:cantSplit/>
          <w:trHeight w:val="60"/>
        </w:trPr>
        <w:tc>
          <w:tcPr>
            <w:tcW w:w="1871" w:type="dxa"/>
          </w:tcPr>
          <w:p w14:paraId="0180B933" w14:textId="77777777" w:rsidR="00A52A68" w:rsidRDefault="00A52A68" w:rsidP="00AC5ED5">
            <w:pPr>
              <w:pStyle w:val="TableSideHeading"/>
            </w:pPr>
          </w:p>
        </w:tc>
        <w:tc>
          <w:tcPr>
            <w:tcW w:w="624" w:type="dxa"/>
          </w:tcPr>
          <w:p w14:paraId="424D964B" w14:textId="77777777" w:rsidR="00A52A68" w:rsidRPr="00682B9C" w:rsidRDefault="00A52A68" w:rsidP="00AC5ED5">
            <w:pPr>
              <w:pStyle w:val="TableBlock"/>
            </w:pPr>
          </w:p>
        </w:tc>
        <w:tc>
          <w:tcPr>
            <w:tcW w:w="624" w:type="dxa"/>
          </w:tcPr>
          <w:p w14:paraId="358BA100" w14:textId="77777777" w:rsidR="00A52A68" w:rsidRPr="00682B9C" w:rsidRDefault="00A52A68" w:rsidP="00AC5ED5">
            <w:pPr>
              <w:pStyle w:val="TableBlock"/>
            </w:pPr>
          </w:p>
        </w:tc>
        <w:tc>
          <w:tcPr>
            <w:tcW w:w="6522" w:type="dxa"/>
          </w:tcPr>
          <w:p w14:paraId="48AC5591" w14:textId="77777777" w:rsidR="00A52A68" w:rsidRPr="00682B9C" w:rsidRDefault="00A52A68" w:rsidP="00AC5ED5">
            <w:pPr>
              <w:pStyle w:val="TableBlock"/>
              <w:rPr>
                <w:rtl/>
              </w:rPr>
            </w:pPr>
            <w:r>
              <w:rPr>
                <w:rFonts w:hint="cs"/>
                <w:rtl/>
              </w:rPr>
              <w:t>(3)</w:t>
            </w:r>
            <w:r>
              <w:rPr>
                <w:rtl/>
              </w:rPr>
              <w:tab/>
            </w:r>
            <w:r w:rsidRPr="00682B9C">
              <w:rPr>
                <w:rFonts w:hint="cs"/>
                <w:rtl/>
              </w:rPr>
              <w:t>זכאי לקצבה שהיוון חלק מקצבתו.</w:t>
            </w:r>
          </w:p>
        </w:tc>
      </w:tr>
      <w:tr w:rsidR="00A52A68" w14:paraId="0305CCA4" w14:textId="77777777" w:rsidTr="00AC5ED5">
        <w:trPr>
          <w:cantSplit/>
          <w:trHeight w:val="60"/>
        </w:trPr>
        <w:tc>
          <w:tcPr>
            <w:tcW w:w="1871" w:type="dxa"/>
          </w:tcPr>
          <w:p w14:paraId="4BFD6E8A" w14:textId="77777777" w:rsidR="00A52A68" w:rsidRDefault="00A52A68" w:rsidP="00AC5ED5">
            <w:pPr>
              <w:pStyle w:val="TableSideHeading"/>
              <w:keepLines w:val="0"/>
              <w:rPr>
                <w:rtl/>
              </w:rPr>
            </w:pPr>
            <w:r>
              <w:rPr>
                <w:rFonts w:hint="cs"/>
                <w:rtl/>
              </w:rPr>
              <w:t>ביצוע ותקנות</w:t>
            </w:r>
          </w:p>
        </w:tc>
        <w:tc>
          <w:tcPr>
            <w:tcW w:w="624" w:type="dxa"/>
          </w:tcPr>
          <w:p w14:paraId="5486925A" w14:textId="77777777" w:rsidR="00A52A68" w:rsidRPr="00682B9C" w:rsidRDefault="00A52A68" w:rsidP="00AC5ED5">
            <w:pPr>
              <w:pStyle w:val="TableBlock"/>
              <w:rPr>
                <w:rtl/>
              </w:rPr>
            </w:pPr>
            <w:r>
              <w:rPr>
                <w:rFonts w:hint="cs"/>
                <w:rtl/>
              </w:rPr>
              <w:t>4</w:t>
            </w:r>
            <w:r w:rsidRPr="00682B9C">
              <w:rPr>
                <w:rFonts w:hint="cs"/>
                <w:rtl/>
              </w:rPr>
              <w:t>.</w:t>
            </w:r>
          </w:p>
        </w:tc>
        <w:tc>
          <w:tcPr>
            <w:tcW w:w="7146" w:type="dxa"/>
            <w:gridSpan w:val="2"/>
          </w:tcPr>
          <w:p w14:paraId="49A967F4" w14:textId="77777777" w:rsidR="00A52A68" w:rsidRPr="00682B9C" w:rsidRDefault="00A52A68" w:rsidP="00AC5ED5">
            <w:pPr>
              <w:pStyle w:val="TableBlock"/>
              <w:rPr>
                <w:rtl/>
              </w:rPr>
            </w:pPr>
            <w:r w:rsidRPr="00682B9C">
              <w:rPr>
                <w:rFonts w:hint="cs"/>
                <w:rtl/>
              </w:rPr>
              <w:t>שר האוצר ממונה על ביצוע חוק זה והוא יתקין תקנות לביצועו</w:t>
            </w:r>
            <w:r>
              <w:rPr>
                <w:rFonts w:hint="cs"/>
                <w:rtl/>
              </w:rPr>
              <w:t>,</w:t>
            </w:r>
            <w:r w:rsidRPr="00682B9C">
              <w:rPr>
                <w:rFonts w:hint="cs"/>
                <w:rtl/>
              </w:rPr>
              <w:t xml:space="preserve"> </w:t>
            </w:r>
            <w:r w:rsidRPr="00A52A68">
              <w:rPr>
                <w:rFonts w:hint="cs"/>
                <w:rtl/>
              </w:rPr>
              <w:t>בהסכמת כל השרים שעניין הטיפול בגמלאות לזכאים או לסוגים מהם הוא בתחום האחריות של משרדם</w:t>
            </w:r>
            <w:r>
              <w:rPr>
                <w:rFonts w:hint="cs"/>
                <w:rtl/>
              </w:rPr>
              <w:t xml:space="preserve"> ו</w:t>
            </w:r>
            <w:r w:rsidRPr="00682B9C">
              <w:rPr>
                <w:rFonts w:hint="cs"/>
                <w:rtl/>
              </w:rPr>
              <w:t>באישור ועדת הכספים של הכנסת; תקנות ראשונות יובאו לאישור</w:t>
            </w:r>
            <w:r>
              <w:rPr>
                <w:rFonts w:hint="cs"/>
                <w:rtl/>
              </w:rPr>
              <w:t xml:space="preserve"> ועדת הכספים של הכנסת</w:t>
            </w:r>
            <w:r w:rsidRPr="00682B9C">
              <w:rPr>
                <w:rFonts w:hint="cs"/>
                <w:rtl/>
              </w:rPr>
              <w:t xml:space="preserve"> </w:t>
            </w:r>
            <w:r>
              <w:rPr>
                <w:rFonts w:hint="cs"/>
                <w:rtl/>
              </w:rPr>
              <w:t>ב</w:t>
            </w:r>
            <w:r w:rsidRPr="00682B9C">
              <w:rPr>
                <w:rFonts w:hint="cs"/>
                <w:rtl/>
              </w:rPr>
              <w:t xml:space="preserve">תוך 60 ימים מיום תחילתו של חוק זה; לא הובאו התקנות לאישור כאמור </w:t>
            </w:r>
            <w:r>
              <w:rPr>
                <w:rFonts w:hint="cs"/>
                <w:rtl/>
              </w:rPr>
              <w:t>י</w:t>
            </w:r>
            <w:r w:rsidRPr="00682B9C">
              <w:rPr>
                <w:rFonts w:hint="cs"/>
                <w:rtl/>
              </w:rPr>
              <w:t xml:space="preserve">שולם לזכאי לקצבה, המקבל גם משכורת קיימת, </w:t>
            </w:r>
            <w:r>
              <w:rPr>
                <w:rFonts w:hint="cs"/>
                <w:rtl/>
              </w:rPr>
              <w:t>שיעור הקצבה המקורי.</w:t>
            </w:r>
          </w:p>
        </w:tc>
      </w:tr>
      <w:tr w:rsidR="00A52A68" w14:paraId="5B2B47DF" w14:textId="77777777" w:rsidTr="00AC5ED5">
        <w:trPr>
          <w:cantSplit/>
          <w:trHeight w:val="60"/>
        </w:trPr>
        <w:tc>
          <w:tcPr>
            <w:tcW w:w="1871" w:type="dxa"/>
          </w:tcPr>
          <w:p w14:paraId="1088709E" w14:textId="77777777" w:rsidR="00A52A68" w:rsidRDefault="00A52A68" w:rsidP="00AC5ED5">
            <w:pPr>
              <w:pStyle w:val="TableSideHeading"/>
              <w:keepLines w:val="0"/>
              <w:rPr>
                <w:rtl/>
              </w:rPr>
            </w:pPr>
            <w:r>
              <w:rPr>
                <w:rFonts w:hint="cs"/>
                <w:rtl/>
              </w:rPr>
              <w:t xml:space="preserve">תיקון חוק </w:t>
            </w:r>
            <w:r w:rsidRPr="00682B9C">
              <w:rPr>
                <w:rFonts w:hint="cs"/>
                <w:rtl/>
              </w:rPr>
              <w:t>שירות המדינה (</w:t>
            </w:r>
            <w:proofErr w:type="spellStart"/>
            <w:r w:rsidRPr="00682B9C">
              <w:rPr>
                <w:rFonts w:hint="cs"/>
                <w:rtl/>
              </w:rPr>
              <w:t>גימלאות</w:t>
            </w:r>
            <w:proofErr w:type="spellEnd"/>
            <w:r w:rsidRPr="00682B9C">
              <w:rPr>
                <w:rFonts w:hint="cs"/>
                <w:rtl/>
              </w:rPr>
              <w:t>)</w:t>
            </w:r>
          </w:p>
        </w:tc>
        <w:tc>
          <w:tcPr>
            <w:tcW w:w="624" w:type="dxa"/>
          </w:tcPr>
          <w:p w14:paraId="5D552A5A" w14:textId="77777777" w:rsidR="00A52A68" w:rsidRPr="00682B9C" w:rsidRDefault="00A52A68" w:rsidP="00AC5ED5">
            <w:pPr>
              <w:pStyle w:val="TableBlock"/>
              <w:rPr>
                <w:rtl/>
              </w:rPr>
            </w:pPr>
            <w:r>
              <w:rPr>
                <w:rFonts w:hint="cs"/>
                <w:rtl/>
              </w:rPr>
              <w:t>5.</w:t>
            </w:r>
          </w:p>
        </w:tc>
        <w:tc>
          <w:tcPr>
            <w:tcW w:w="7146" w:type="dxa"/>
            <w:gridSpan w:val="2"/>
          </w:tcPr>
          <w:p w14:paraId="27469E15" w14:textId="77777777" w:rsidR="00A52A68" w:rsidRPr="00682B9C" w:rsidRDefault="00A52A68" w:rsidP="00AC5ED5">
            <w:pPr>
              <w:pStyle w:val="TableBlock"/>
              <w:rPr>
                <w:rtl/>
              </w:rPr>
            </w:pPr>
            <w:r w:rsidRPr="00682B9C">
              <w:rPr>
                <w:rFonts w:hint="cs"/>
                <w:rtl/>
              </w:rPr>
              <w:t>בחוק</w:t>
            </w:r>
            <w:r>
              <w:rPr>
                <w:rFonts w:hint="cs"/>
                <w:rtl/>
              </w:rPr>
              <w:t xml:space="preserve"> </w:t>
            </w:r>
            <w:r w:rsidRPr="00682B9C">
              <w:rPr>
                <w:rFonts w:hint="cs"/>
                <w:rtl/>
              </w:rPr>
              <w:t>שירות המדינה (</w:t>
            </w:r>
            <w:proofErr w:type="spellStart"/>
            <w:r w:rsidRPr="00682B9C">
              <w:rPr>
                <w:rFonts w:hint="cs"/>
                <w:rtl/>
              </w:rPr>
              <w:t>גימלאות</w:t>
            </w:r>
            <w:proofErr w:type="spellEnd"/>
            <w:r w:rsidRPr="00682B9C">
              <w:rPr>
                <w:rFonts w:hint="cs"/>
                <w:rtl/>
              </w:rPr>
              <w:t xml:space="preserve">) [נוסח משולב], </w:t>
            </w:r>
            <w:proofErr w:type="spellStart"/>
            <w:r w:rsidRPr="00682B9C">
              <w:rPr>
                <w:rFonts w:hint="cs"/>
                <w:rtl/>
              </w:rPr>
              <w:t>התש"ל</w:t>
            </w:r>
            <w:proofErr w:type="spellEnd"/>
            <w:r w:rsidRPr="00682B9C">
              <w:rPr>
                <w:rtl/>
              </w:rPr>
              <w:t>–</w:t>
            </w:r>
            <w:r w:rsidRPr="00682B9C">
              <w:rPr>
                <w:rFonts w:hint="cs"/>
                <w:rtl/>
              </w:rPr>
              <w:t>1970</w:t>
            </w:r>
            <w:r w:rsidRPr="00682B9C">
              <w:rPr>
                <w:vertAlign w:val="superscript"/>
                <w:rtl/>
              </w:rPr>
              <w:footnoteReference w:id="4"/>
            </w:r>
            <w:r w:rsidRPr="00682B9C">
              <w:rPr>
                <w:rFonts w:hint="cs"/>
                <w:rtl/>
              </w:rPr>
              <w:t xml:space="preserve">, סעיפים 35 ו-78א </w:t>
            </w:r>
            <w:r w:rsidRPr="00682B9C">
              <w:rPr>
                <w:rtl/>
              </w:rPr>
              <w:t>–</w:t>
            </w:r>
            <w:r w:rsidRPr="00682B9C">
              <w:rPr>
                <w:rFonts w:hint="cs"/>
                <w:rtl/>
              </w:rPr>
              <w:t xml:space="preserve"> בטלים.</w:t>
            </w:r>
          </w:p>
        </w:tc>
      </w:tr>
      <w:tr w:rsidR="00A52A68" w14:paraId="75691EE9" w14:textId="77777777" w:rsidTr="00AC5ED5">
        <w:trPr>
          <w:cantSplit/>
          <w:trHeight w:val="60"/>
        </w:trPr>
        <w:tc>
          <w:tcPr>
            <w:tcW w:w="1871" w:type="dxa"/>
          </w:tcPr>
          <w:p w14:paraId="2671115A" w14:textId="77777777" w:rsidR="00A52A68" w:rsidRPr="00445AF0" w:rsidRDefault="00A52A68" w:rsidP="00AC5ED5">
            <w:pPr>
              <w:pStyle w:val="TableSideHeading"/>
              <w:keepLines w:val="0"/>
              <w:rPr>
                <w:rtl/>
              </w:rPr>
            </w:pPr>
            <w:r>
              <w:rPr>
                <w:rFonts w:hint="cs"/>
                <w:rtl/>
              </w:rPr>
              <w:lastRenderedPageBreak/>
              <w:t>תיקון חוק שירות הקבע בצבא הגנה לישראל (גמלאות)</w:t>
            </w:r>
          </w:p>
        </w:tc>
        <w:tc>
          <w:tcPr>
            <w:tcW w:w="624" w:type="dxa"/>
          </w:tcPr>
          <w:p w14:paraId="5AB36D48" w14:textId="77777777" w:rsidR="00A52A68" w:rsidRPr="00682B9C" w:rsidRDefault="00A52A68" w:rsidP="00AC5ED5">
            <w:pPr>
              <w:pStyle w:val="TableBlock"/>
              <w:rPr>
                <w:rtl/>
              </w:rPr>
            </w:pPr>
            <w:r>
              <w:rPr>
                <w:rFonts w:hint="cs"/>
                <w:rtl/>
              </w:rPr>
              <w:t>6.</w:t>
            </w:r>
          </w:p>
        </w:tc>
        <w:tc>
          <w:tcPr>
            <w:tcW w:w="7146" w:type="dxa"/>
            <w:gridSpan w:val="2"/>
          </w:tcPr>
          <w:p w14:paraId="307436DA" w14:textId="77777777" w:rsidR="00A52A68" w:rsidRPr="00682B9C" w:rsidRDefault="00A52A68" w:rsidP="00AC5ED5">
            <w:pPr>
              <w:pStyle w:val="TableBlock"/>
              <w:rPr>
                <w:rtl/>
              </w:rPr>
            </w:pPr>
            <w:r w:rsidRPr="00682B9C">
              <w:rPr>
                <w:rFonts w:hint="cs"/>
                <w:rtl/>
              </w:rPr>
              <w:t xml:space="preserve">בחוק שירות הקבע בצבא הגנה לישראל (גמלאות) [נוסח משולב], </w:t>
            </w:r>
            <w:proofErr w:type="spellStart"/>
            <w:r w:rsidRPr="00682B9C">
              <w:rPr>
                <w:rFonts w:hint="cs"/>
                <w:rtl/>
              </w:rPr>
              <w:t>התשמ"ה</w:t>
            </w:r>
            <w:proofErr w:type="spellEnd"/>
            <w:r w:rsidRPr="00682B9C">
              <w:rPr>
                <w:rtl/>
              </w:rPr>
              <w:t>–</w:t>
            </w:r>
            <w:r w:rsidRPr="00682B9C">
              <w:rPr>
                <w:rFonts w:hint="cs"/>
                <w:rtl/>
              </w:rPr>
              <w:t>1985</w:t>
            </w:r>
            <w:r w:rsidRPr="00682B9C">
              <w:rPr>
                <w:rtl/>
              </w:rPr>
              <w:footnoteReference w:id="5"/>
            </w:r>
            <w:r w:rsidRPr="00682B9C">
              <w:rPr>
                <w:rFonts w:hint="cs"/>
                <w:rtl/>
              </w:rPr>
              <w:t xml:space="preserve">, סעיף 33 </w:t>
            </w:r>
            <w:r w:rsidRPr="00682B9C">
              <w:rPr>
                <w:rtl/>
              </w:rPr>
              <w:t>–</w:t>
            </w:r>
            <w:r w:rsidRPr="00682B9C">
              <w:rPr>
                <w:rFonts w:hint="cs"/>
                <w:rtl/>
              </w:rPr>
              <w:t xml:space="preserve"> בטל.</w:t>
            </w:r>
          </w:p>
        </w:tc>
      </w:tr>
      <w:tr w:rsidR="002F1D80" w14:paraId="035EEF3D" w14:textId="77777777" w:rsidTr="002C3041">
        <w:trPr>
          <w:cantSplit/>
          <w:trHeight w:val="60"/>
        </w:trPr>
        <w:tc>
          <w:tcPr>
            <w:tcW w:w="1871" w:type="dxa"/>
          </w:tcPr>
          <w:p w14:paraId="3863FF98" w14:textId="77777777" w:rsidR="002F1D80" w:rsidRPr="00A52A68" w:rsidRDefault="002F1D80" w:rsidP="002C3041">
            <w:pPr>
              <w:pStyle w:val="TableSideHeading"/>
              <w:keepLines w:val="0"/>
            </w:pPr>
          </w:p>
        </w:tc>
        <w:tc>
          <w:tcPr>
            <w:tcW w:w="624" w:type="dxa"/>
          </w:tcPr>
          <w:p w14:paraId="6F513EF6" w14:textId="77777777" w:rsidR="002F1D80" w:rsidRDefault="002F1D80" w:rsidP="002C3041">
            <w:pPr>
              <w:pStyle w:val="TableText"/>
              <w:keepLines w:val="0"/>
            </w:pPr>
          </w:p>
        </w:tc>
        <w:tc>
          <w:tcPr>
            <w:tcW w:w="7146" w:type="dxa"/>
            <w:gridSpan w:val="2"/>
          </w:tcPr>
          <w:p w14:paraId="1AE94DEB" w14:textId="77777777" w:rsidR="002F1D80" w:rsidRPr="00C34DE2" w:rsidRDefault="002F1D80" w:rsidP="002C3041">
            <w:pPr>
              <w:pStyle w:val="TableHead"/>
              <w:keepLines w:val="0"/>
            </w:pPr>
          </w:p>
        </w:tc>
      </w:tr>
      <w:tr w:rsidR="002F1D80" w14:paraId="3D9B61D1" w14:textId="77777777" w:rsidTr="002C3041">
        <w:trPr>
          <w:cantSplit/>
          <w:trHeight w:val="60"/>
        </w:trPr>
        <w:tc>
          <w:tcPr>
            <w:tcW w:w="1871" w:type="dxa"/>
          </w:tcPr>
          <w:p w14:paraId="6C0CB9D8" w14:textId="77777777" w:rsidR="002F1D80" w:rsidRDefault="002F1D80" w:rsidP="002C3041">
            <w:pPr>
              <w:pStyle w:val="TableSideHeading"/>
              <w:keepLines w:val="0"/>
            </w:pPr>
          </w:p>
        </w:tc>
        <w:tc>
          <w:tcPr>
            <w:tcW w:w="624" w:type="dxa"/>
          </w:tcPr>
          <w:p w14:paraId="3F4286A2" w14:textId="77777777" w:rsidR="002F1D80" w:rsidRDefault="002F1D80" w:rsidP="002C3041">
            <w:pPr>
              <w:pStyle w:val="TableText"/>
              <w:keepLines w:val="0"/>
            </w:pPr>
          </w:p>
        </w:tc>
        <w:tc>
          <w:tcPr>
            <w:tcW w:w="7146" w:type="dxa"/>
            <w:gridSpan w:val="2"/>
          </w:tcPr>
          <w:p w14:paraId="7633D5BB" w14:textId="77777777" w:rsidR="002F1D80" w:rsidRPr="00C34DE2" w:rsidRDefault="002F1D80" w:rsidP="002C3041">
            <w:pPr>
              <w:pStyle w:val="TableBlock"/>
              <w:keepLines w:val="0"/>
            </w:pPr>
          </w:p>
        </w:tc>
      </w:tr>
    </w:tbl>
    <w:p w14:paraId="7F6961CA" w14:textId="77777777" w:rsidR="002D1EE3" w:rsidRDefault="002D1EE3" w:rsidP="002D1EE3">
      <w:pPr>
        <w:pStyle w:val="HeadDivreiHesber"/>
        <w:rPr>
          <w:rtl/>
        </w:rPr>
      </w:pPr>
      <w:r w:rsidRPr="0027450A">
        <w:rPr>
          <w:rFonts w:hint="cs"/>
          <w:rtl/>
        </w:rPr>
        <w:t>דברי הסבר</w:t>
      </w:r>
    </w:p>
    <w:p w14:paraId="7DB6E32E" w14:textId="77777777" w:rsidR="00A52A68" w:rsidRDefault="00A52A68" w:rsidP="00A52A68">
      <w:pPr>
        <w:pStyle w:val="Hesber"/>
        <w:rPr>
          <w:rtl/>
        </w:rPr>
      </w:pPr>
      <w:r>
        <w:rPr>
          <w:rFonts w:hint="cs"/>
          <w:rtl/>
        </w:rPr>
        <w:t xml:space="preserve">חוק שירות המדינה (גמלאות) [נוסח משולב], </w:t>
      </w:r>
      <w:proofErr w:type="spellStart"/>
      <w:r>
        <w:rPr>
          <w:rFonts w:hint="cs"/>
          <w:rtl/>
        </w:rPr>
        <w:t>התש"ל</w:t>
      </w:r>
      <w:proofErr w:type="spellEnd"/>
      <w:r>
        <w:rPr>
          <w:rtl/>
        </w:rPr>
        <w:t>–</w:t>
      </w:r>
      <w:r>
        <w:rPr>
          <w:rFonts w:hint="cs"/>
          <w:rtl/>
        </w:rPr>
        <w:t xml:space="preserve">1970 (להלן </w:t>
      </w:r>
      <w:r>
        <w:rPr>
          <w:rtl/>
        </w:rPr>
        <w:t>–</w:t>
      </w:r>
      <w:r>
        <w:rPr>
          <w:rFonts w:hint="cs"/>
          <w:rtl/>
        </w:rPr>
        <w:t xml:space="preserve"> חוק שירות המדינה), קובע הוראות לעניין זכאותו לקצבה של אדם שפרש לגמלאות ומקבל משכורת מקופה ציבורית או מאוצר המדינה, כך שהיא תופחת או לא תשולם לו כלל, הכול בהתאם לשיעור המשכורת הקיימת. </w:t>
      </w:r>
    </w:p>
    <w:p w14:paraId="6C3649DA" w14:textId="77777777" w:rsidR="00A52A68" w:rsidRDefault="00A52A68" w:rsidP="00A52A68">
      <w:pPr>
        <w:pStyle w:val="Hesber"/>
        <w:rPr>
          <w:rtl/>
        </w:rPr>
      </w:pPr>
      <w:r>
        <w:rPr>
          <w:rFonts w:hint="cs"/>
          <w:rtl/>
        </w:rPr>
        <w:t xml:space="preserve">חוק זה קובע, בהקשר זה, הוראות מיוחדות לעניין משרתי ציבור מסוימים, כגון עובדי שירות הביטחון, שוטרים וסוהרים באופן היוצר הפליה בינם לעומת יתר עובדי שירות המדינה. חוק שירות הקבע בצבא הגנה לישראל (גמלאות) [נוסח משולב], </w:t>
      </w:r>
      <w:proofErr w:type="spellStart"/>
      <w:r>
        <w:rPr>
          <w:rFonts w:hint="cs"/>
          <w:rtl/>
        </w:rPr>
        <w:t>התשמ"ה</w:t>
      </w:r>
      <w:proofErr w:type="spellEnd"/>
      <w:r>
        <w:rPr>
          <w:rFonts w:hint="eastAsia"/>
          <w:rtl/>
        </w:rPr>
        <w:t>–</w:t>
      </w:r>
      <w:r>
        <w:rPr>
          <w:rFonts w:hint="cs"/>
          <w:rtl/>
        </w:rPr>
        <w:t>1985, פטר את גמלאי שירות הקבע מההוראות בעניין הפחתת הגמלה למקבלי משכורת מקופה ציבורית, למעט אם חזרו לשירות בצבא או בגופי ביטחון מסוימים.</w:t>
      </w:r>
    </w:p>
    <w:p w14:paraId="79BC30D8" w14:textId="77777777" w:rsidR="00A52A68" w:rsidRDefault="00A52A68" w:rsidP="00A52A68">
      <w:pPr>
        <w:pStyle w:val="Hesber"/>
        <w:rPr>
          <w:rtl/>
        </w:rPr>
      </w:pPr>
      <w:r>
        <w:rPr>
          <w:rFonts w:hint="cs"/>
          <w:rtl/>
        </w:rPr>
        <w:t xml:space="preserve">ראוי כי ההוראות המפחיתות תשלום כפול מקופת הציבור יחולו על כל משרתי הציבור, ללא יוצא מן הכלל וללא כל הפליה. זאת, כיוון שתרומתו של אחד לא פחותה מתרומתו של אחר. </w:t>
      </w:r>
    </w:p>
    <w:p w14:paraId="43AACA07" w14:textId="77777777" w:rsidR="00A52A68" w:rsidRDefault="00A52A68" w:rsidP="00A52A68">
      <w:pPr>
        <w:pStyle w:val="Hesber"/>
        <w:rPr>
          <w:rtl/>
        </w:rPr>
      </w:pPr>
      <w:r>
        <w:rPr>
          <w:rFonts w:hint="cs"/>
          <w:rtl/>
        </w:rPr>
        <w:t xml:space="preserve">על כן מוצע, לבטל את ההוראות המיוחדות לעובדים המיוחדים ולהחיל את ההסדר הקיים בסעיף 35 לחוק שירות המדינה על כל משרתי הציבור באופן זהה. </w:t>
      </w: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ADF7" w14:textId="77777777" w:rsidR="00650F0A" w:rsidRDefault="00650F0A">
      <w:r>
        <w:separator/>
      </w:r>
    </w:p>
  </w:endnote>
  <w:endnote w:type="continuationSeparator" w:id="0">
    <w:p w14:paraId="6C9BF91D" w14:textId="77777777" w:rsidR="00650F0A" w:rsidRDefault="00650F0A">
      <w:r>
        <w:continuationSeparator/>
      </w:r>
    </w:p>
  </w:endnote>
  <w:endnote w:type="continuationNotice" w:id="1">
    <w:p w14:paraId="37A67F46" w14:textId="77777777" w:rsidR="00650F0A" w:rsidRDefault="00650F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945289">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031C" w14:textId="77777777" w:rsidR="00650F0A" w:rsidRDefault="00650F0A">
      <w:r>
        <w:separator/>
      </w:r>
    </w:p>
  </w:footnote>
  <w:footnote w:type="continuationSeparator" w:id="0">
    <w:p w14:paraId="0C974547" w14:textId="77777777" w:rsidR="00650F0A" w:rsidRDefault="00650F0A">
      <w:r>
        <w:continuationSeparator/>
      </w:r>
    </w:p>
  </w:footnote>
  <w:footnote w:type="continuationNotice" w:id="1">
    <w:p w14:paraId="77E6B191" w14:textId="77777777" w:rsidR="00650F0A" w:rsidRDefault="00650F0A"/>
  </w:footnote>
  <w:footnote w:id="2">
    <w:p w14:paraId="5CD3C90E" w14:textId="77777777" w:rsidR="00A52A68" w:rsidRDefault="00A52A68" w:rsidP="00A52A68">
      <w:pPr>
        <w:pStyle w:val="a4"/>
      </w:pPr>
      <w:r>
        <w:rPr>
          <w:rStyle w:val="a6"/>
        </w:rPr>
        <w:footnoteRef/>
      </w:r>
      <w:r>
        <w:rPr>
          <w:rtl/>
        </w:rPr>
        <w:t xml:space="preserve"> </w:t>
      </w:r>
      <w:r>
        <w:rPr>
          <w:rFonts w:hint="cs"/>
          <w:rtl/>
        </w:rPr>
        <w:t>דיני מדינת ישראל, נוסח חדש 6, עמ' 120.</w:t>
      </w:r>
    </w:p>
  </w:footnote>
  <w:footnote w:id="3">
    <w:p w14:paraId="43D4F407" w14:textId="77777777" w:rsidR="00A52A68" w:rsidRDefault="00A52A68" w:rsidP="00A52A68">
      <w:pPr>
        <w:pStyle w:val="a4"/>
        <w:rPr>
          <w:rtl/>
        </w:rPr>
      </w:pPr>
      <w:r>
        <w:rPr>
          <w:rStyle w:val="a6"/>
        </w:rPr>
        <w:footnoteRef/>
      </w:r>
      <w:r>
        <w:rPr>
          <w:rtl/>
        </w:rPr>
        <w:t xml:space="preserve"> </w:t>
      </w:r>
      <w:r>
        <w:rPr>
          <w:rFonts w:hint="cs"/>
          <w:rtl/>
        </w:rPr>
        <w:t xml:space="preserve">ס"ח </w:t>
      </w:r>
      <w:proofErr w:type="spellStart"/>
      <w:r>
        <w:rPr>
          <w:rFonts w:hint="cs"/>
          <w:rtl/>
        </w:rPr>
        <w:t>התש"ל</w:t>
      </w:r>
      <w:proofErr w:type="spellEnd"/>
      <w:r>
        <w:rPr>
          <w:rFonts w:hint="cs"/>
          <w:rtl/>
        </w:rPr>
        <w:t>, עמ' 65.</w:t>
      </w:r>
    </w:p>
  </w:footnote>
  <w:footnote w:id="4">
    <w:p w14:paraId="5BA2977E" w14:textId="77777777" w:rsidR="00A52A68" w:rsidRDefault="00A52A68" w:rsidP="00A52A68">
      <w:pPr>
        <w:pStyle w:val="a4"/>
        <w:rPr>
          <w:rtl/>
        </w:rPr>
      </w:pPr>
      <w:r>
        <w:rPr>
          <w:rStyle w:val="a6"/>
        </w:rPr>
        <w:footnoteRef/>
      </w:r>
      <w:r>
        <w:rPr>
          <w:rtl/>
        </w:rPr>
        <w:t xml:space="preserve"> </w:t>
      </w:r>
      <w:r>
        <w:rPr>
          <w:rFonts w:hint="cs"/>
          <w:rtl/>
        </w:rPr>
        <w:t xml:space="preserve">ס"ח </w:t>
      </w:r>
      <w:proofErr w:type="spellStart"/>
      <w:r>
        <w:rPr>
          <w:rFonts w:hint="cs"/>
          <w:rtl/>
        </w:rPr>
        <w:t>התש"ל</w:t>
      </w:r>
      <w:proofErr w:type="spellEnd"/>
      <w:r>
        <w:rPr>
          <w:rFonts w:hint="cs"/>
          <w:rtl/>
        </w:rPr>
        <w:t>, עמ' 65.</w:t>
      </w:r>
    </w:p>
  </w:footnote>
  <w:footnote w:id="5">
    <w:p w14:paraId="079AACA5" w14:textId="77777777" w:rsidR="00A52A68" w:rsidRDefault="00A52A68" w:rsidP="00A52A68">
      <w:pPr>
        <w:pStyle w:val="a4"/>
        <w:rPr>
          <w:rtl/>
        </w:rPr>
      </w:pPr>
      <w:r>
        <w:rPr>
          <w:rStyle w:val="a6"/>
        </w:rPr>
        <w:footnoteRef/>
      </w:r>
      <w:r>
        <w:rPr>
          <w:rtl/>
        </w:rPr>
        <w:t xml:space="preserve"> </w:t>
      </w:r>
      <w:r>
        <w:rPr>
          <w:rFonts w:hint="cs"/>
          <w:rtl/>
        </w:rPr>
        <w:t xml:space="preserve">ס"ח </w:t>
      </w:r>
      <w:proofErr w:type="spellStart"/>
      <w:r>
        <w:rPr>
          <w:rFonts w:hint="cs"/>
          <w:rtl/>
        </w:rPr>
        <w:t>התשמ"ה</w:t>
      </w:r>
      <w:proofErr w:type="spellEnd"/>
      <w:r>
        <w:rPr>
          <w:rFonts w:hint="cs"/>
          <w:rtl/>
        </w:rPr>
        <w:t>, עמ'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50F0A"/>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289"/>
    <w:rsid w:val="009456B6"/>
    <w:rsid w:val="00957589"/>
    <w:rsid w:val="00966D06"/>
    <w:rsid w:val="00982412"/>
    <w:rsid w:val="00983A8D"/>
    <w:rsid w:val="009A0DB8"/>
    <w:rsid w:val="009A7257"/>
    <w:rsid w:val="009D6E0A"/>
    <w:rsid w:val="009E1E33"/>
    <w:rsid w:val="00A14672"/>
    <w:rsid w:val="00A26BD6"/>
    <w:rsid w:val="00A443CF"/>
    <w:rsid w:val="00A52A68"/>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8FE75BE6-8493-4DA3-BF28-5F441E5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52A68"/>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21F85-DCE9-4CE3-AA26-7AD5100CE7B5}"/>
</file>

<file path=customXml/itemProps2.xml><?xml version="1.0" encoding="utf-8"?>
<ds:datastoreItem xmlns:ds="http://schemas.openxmlformats.org/officeDocument/2006/customXml" ds:itemID="{88F4AFE3-9455-419C-8851-785A55F44517}"/>
</file>

<file path=customXml/itemProps3.xml><?xml version="1.0" encoding="utf-8"?>
<ds:datastoreItem xmlns:ds="http://schemas.openxmlformats.org/officeDocument/2006/customXml" ds:itemID="{53CDC32B-DD97-493E-9196-3EF77D6F9C7D}"/>
</file>

<file path=customXml/itemProps4.xml><?xml version="1.0" encoding="utf-8"?>
<ds:datastoreItem xmlns:ds="http://schemas.openxmlformats.org/officeDocument/2006/customXml" ds:itemID="{AB5D1D60-F719-4B02-BB33-E8CF048D9FC9}"/>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3030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שי גרשון מאיר</cp:lastModifiedBy>
  <cp:revision>2</cp:revision>
  <cp:lastPrinted>2013-07-04T08:25:00Z</cp:lastPrinted>
  <dcterms:created xsi:type="dcterms:W3CDTF">2016-05-10T10:51:00Z</dcterms:created>
  <dcterms:modified xsi:type="dcterms:W3CDTF">2016-05-10T10:51:00Z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2002408</vt:r8>
  </property>
</Properties>
</file>