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563061</w:t>
      </w:r>
      <w:bookmarkEnd w:id="1"/>
    </w:p>
    <w:p w14:paraId="7F6961A2" w14:textId="60C25D8D"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sidR="002510D2">
        <w:rPr>
          <w:sz w:val="28"/>
          <w:szCs w:val="28"/>
          <w:rtl/>
        </w:rPr>
        <w:t>העשרים</w:t>
      </w:r>
      <w:bookmarkEnd w:id="2"/>
    </w:p>
    <w:p w14:paraId="7F6961A3" w14:textId="77777777" w:rsidR="00E13C27" w:rsidRPr="00F67051" w:rsidRDefault="00E13C27" w:rsidP="00E13C27">
      <w:pPr>
        <w:rPr>
          <w:rFonts w:cs="David"/>
          <w:b/>
          <w:bCs/>
          <w:sz w:val="26"/>
          <w:szCs w:val="26"/>
          <w:rtl/>
        </w:rPr>
      </w:pPr>
    </w:p>
    <w:p w14:paraId="7F6961A6" w14:textId="77777777" w:rsidR="00E13C27" w:rsidRDefault="008F6665" w:rsidP="00884EC9">
      <w:pPr>
        <w:pStyle w:val="David"/>
        <w:spacing w:line="360" w:lineRule="auto"/>
        <w:ind w:left="3544"/>
        <w:rPr>
          <w:b/>
          <w:bCs/>
          <w:rtl/>
        </w:rPr>
      </w:pPr>
      <w:bookmarkStart w:id="3" w:name="LGS_Initiators_List"/>
      <w:r>
        <w:rPr>
          <w:b/>
          <w:bCs/>
          <w:rtl/>
        </w:rPr>
        <w:t>יוזמים:      חברי הכנסת</w:t>
      </w:r>
      <w:bookmarkEnd w:id="3"/>
      <w:r w:rsidR="00B35784" w:rsidRPr="00F67051">
        <w:rPr>
          <w:b/>
          <w:bCs/>
        </w:rPr>
        <w:tab/>
      </w:r>
      <w:bookmarkStart w:id="4" w:name="LGS_PM_Names"/>
      <w:r>
        <w:rPr>
          <w:rFonts w:hint="cs"/>
          <w:b/>
          <w:bCs/>
          <w:rtl/>
        </w:rPr>
        <w:t>רועי פולקמן</w:t>
      </w:r>
      <w:r>
        <w:br/>
      </w:r>
      <w:r>
        <w:rPr>
          <w:rFonts w:hint="cs"/>
          <w:b/>
          <w:bCs/>
          <w:rtl/>
        </w:rPr>
        <w:t xml:space="preserve"> </w:t>
      </w:r>
      <w:r>
        <w:tab/>
      </w:r>
      <w:r>
        <w:tab/>
      </w:r>
      <w:r>
        <w:tab/>
      </w:r>
      <w:r>
        <w:tab/>
      </w:r>
      <w:r>
        <w:rPr>
          <w:rFonts w:hint="cs"/>
          <w:b/>
          <w:bCs/>
          <w:rtl/>
        </w:rPr>
        <w:t>אלי כהן</w:t>
      </w:r>
      <w:r>
        <w:br/>
      </w:r>
      <w:r>
        <w:rPr>
          <w:rFonts w:hint="cs"/>
          <w:b/>
          <w:bCs/>
          <w:rtl/>
        </w:rPr>
        <w:t xml:space="preserve"> </w:t>
      </w:r>
      <w:r>
        <w:tab/>
      </w:r>
      <w:r>
        <w:tab/>
      </w:r>
      <w:r>
        <w:tab/>
      </w:r>
      <w:r>
        <w:tab/>
      </w:r>
      <w:r>
        <w:rPr>
          <w:rFonts w:hint="cs"/>
          <w:b/>
          <w:bCs/>
          <w:rtl/>
        </w:rPr>
        <w:t>מירב בן ארי</w:t>
      </w:r>
      <w:r>
        <w:br/>
      </w:r>
      <w:r>
        <w:rPr>
          <w:rFonts w:hint="cs"/>
          <w:b/>
          <w:bCs/>
          <w:rtl/>
        </w:rPr>
        <w:t xml:space="preserve"> </w:t>
      </w:r>
      <w:r>
        <w:tab/>
      </w:r>
      <w:r>
        <w:tab/>
      </w:r>
      <w:r>
        <w:tab/>
      </w:r>
      <w:r>
        <w:tab/>
      </w:r>
      <w:r>
        <w:rPr>
          <w:rFonts w:hint="cs"/>
          <w:b/>
          <w:bCs/>
          <w:rtl/>
        </w:rPr>
        <w:t>בצלאל סמוטריץ'</w:t>
      </w:r>
      <w:r>
        <w:br/>
      </w:r>
      <w:r>
        <w:rPr>
          <w:rFonts w:hint="cs"/>
          <w:b/>
          <w:bCs/>
          <w:rtl/>
        </w:rPr>
        <w:t xml:space="preserve"> </w:t>
      </w:r>
      <w:r>
        <w:tab/>
      </w:r>
      <w:r>
        <w:tab/>
      </w:r>
      <w:r>
        <w:tab/>
      </w:r>
      <w:r>
        <w:tab/>
      </w:r>
      <w:r>
        <w:rPr>
          <w:rFonts w:hint="cs"/>
          <w:b/>
          <w:bCs/>
          <w:rtl/>
        </w:rPr>
        <w:t>איתן כבל</w:t>
      </w:r>
      <w:bookmarkEnd w:id="4"/>
    </w:p>
    <w:p w14:paraId="7F6961AA" w14:textId="77777777" w:rsidR="00E13C27" w:rsidRPr="00CF1AA2" w:rsidRDefault="007D585A" w:rsidP="00CF1AA2">
      <w:pPr>
        <w:pStyle w:val="David"/>
        <w:ind w:left="3544"/>
        <w:rPr>
          <w:b/>
          <w:bCs/>
          <w:rtl/>
        </w:rPr>
      </w:pPr>
      <w:bookmarkStart w:id="5" w:name="LGS_Join_List"/>
      <w:r>
        <w:rPr>
          <w:rtl/>
        </w:rPr>
        <w:t xml:space="preserve"> </w:t>
      </w:r>
      <w:bookmarkEnd w:id="5"/>
      <w:r w:rsidR="002200A1" w:rsidRPr="00CF1AA2">
        <w:rPr>
          <w:rFonts w:hint="cs"/>
          <w:rtl/>
        </w:rPr>
        <w:tab/>
      </w:r>
      <w:bookmarkStart w:id="6" w:name="LGS_PM_NamesJoin"/>
      <w:r>
        <w:rPr>
          <w:rFonts w:hint="cs"/>
          <w:rtl/>
        </w:rPr>
        <w:t xml:space="preserve"> </w:t>
      </w:r>
      <w:bookmarkEnd w:id="6"/>
    </w:p>
    <w:p w14:paraId="7F6961AB" w14:textId="1A02760E" w:rsidR="00E13C27" w:rsidRPr="00E06736" w:rsidRDefault="0014195F" w:rsidP="00416B4D">
      <w:pPr>
        <w:pStyle w:val="David"/>
        <w:ind w:left="3544"/>
        <w:rPr>
          <w:rtl/>
        </w:rPr>
      </w:pPr>
      <w:r w:rsidRPr="00CF1AA2">
        <w:rPr>
          <w:b/>
          <w:bCs/>
          <w:noProof/>
          <w:rtl/>
          <w:lang w:eastAsia="en-US"/>
        </w:rPr>
        <mc:AlternateContent>
          <mc:Choice Requires="wps">
            <w:drawing>
              <wp:anchor distT="0" distB="0" distL="114300" distR="114300" simplePos="0" relativeHeight="251658752" behindDoc="0" locked="0" layoutInCell="1" allowOverlap="1" wp14:anchorId="7F6961CE" wp14:editId="7F6961CF">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5="http://schemas.microsoft.com/office/word/2012/wordml">
            <w:pict>
              <v:polyline id="Freeform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w14:anchorId="21D28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00E13C27" w:rsidRPr="00E06736">
        <w:rPr>
          <w:rFonts w:hint="cs"/>
          <w:rtl/>
        </w:rPr>
        <w:tab/>
      </w:r>
      <w:r w:rsidR="00416B4D">
        <w:tab/>
      </w:r>
      <w:r w:rsidR="00FA5E88">
        <w:tab/>
      </w:r>
      <w:r w:rsidR="00E13C27" w:rsidRPr="00E06736">
        <w:rPr>
          <w:rFonts w:hint="cs"/>
          <w:rtl/>
        </w:rPr>
        <w:tab/>
      </w:r>
      <w:r w:rsidR="00E06736" w:rsidRPr="00E06736">
        <w:tab/>
      </w:r>
      <w:bookmarkStart w:id="7" w:name="Private_Number"/>
      <w:r>
        <w:rPr>
          <w:rFonts w:hint="cs"/>
          <w:rtl/>
        </w:rPr>
        <w:t>פ/662/20</w:t>
      </w:r>
      <w:bookmarkEnd w:id="7"/>
      <w:r w:rsidR="00E13C27" w:rsidRPr="00E06736">
        <w:rPr>
          <w:rFonts w:hint="cs"/>
          <w:rtl/>
        </w:rPr>
        <w:tab/>
      </w:r>
      <w:r w:rsidR="00E13C27" w:rsidRPr="00E06736">
        <w:rPr>
          <w:rFonts w:hint="cs"/>
          <w:rtl/>
        </w:rPr>
        <w:tab/>
      </w:r>
      <w:r w:rsidR="00E13C27" w:rsidRPr="00E06736">
        <w:rPr>
          <w:rFonts w:hint="cs"/>
          <w:rtl/>
        </w:rPr>
        <w:tab/>
      </w:r>
    </w:p>
    <w:p w14:paraId="7F6961AC" w14:textId="77777777" w:rsidR="00E13C27" w:rsidRDefault="00E13C27" w:rsidP="00E13C27">
      <w:pPr>
        <w:spacing w:before="0" w:line="360" w:lineRule="auto"/>
        <w:ind w:left="2880" w:firstLine="720"/>
        <w:rPr>
          <w:rFonts w:cs="David"/>
          <w:sz w:val="26"/>
          <w:szCs w:val="26"/>
          <w:rtl/>
        </w:rPr>
      </w:pPr>
    </w:p>
    <w:p w14:paraId="7F6961AD" w14:textId="34104F64" w:rsidR="00E13C27" w:rsidRDefault="00A443CF" w:rsidP="002E215F">
      <w:pPr>
        <w:pStyle w:val="HeadHatzaotHok"/>
        <w:spacing w:line="240" w:lineRule="auto"/>
        <w:rPr>
          <w:rtl/>
        </w:rPr>
      </w:pPr>
      <w:bookmarkStart w:id="8" w:name="LGS_Subject"/>
      <w:r>
        <w:rPr>
          <w:rFonts w:hint="cs"/>
          <w:rtl/>
        </w:rPr>
        <w:t>הצעת חוק הגבלת אשראי ספקים למוסדות המדינה, התשע"ה</w:t>
      </w:r>
      <w:r w:rsidR="002E215F">
        <w:rPr>
          <w:rFonts w:hint="eastAsia"/>
          <w:rtl/>
        </w:rPr>
        <w:t>–</w:t>
      </w:r>
      <w:r>
        <w:rPr>
          <w:rFonts w:hint="cs"/>
          <w:rtl/>
        </w:rPr>
        <w:t>2015</w:t>
      </w:r>
      <w:bookmarkEnd w:id="8"/>
    </w:p>
    <w:p w14:paraId="1ACCBDF3" w14:textId="77777777" w:rsidR="00C37581" w:rsidRDefault="00C37581" w:rsidP="00A443CF">
      <w:pPr>
        <w:pStyle w:val="HeadHatzaotHok"/>
        <w:spacing w:line="240" w:lineRule="auto"/>
        <w:rPr>
          <w:rtl/>
        </w:rPr>
      </w:pPr>
    </w:p>
    <w:tbl>
      <w:tblPr>
        <w:bidiVisual/>
        <w:tblW w:w="9641"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522"/>
      </w:tblGrid>
      <w:tr w:rsidR="00C37581" w:rsidRPr="00C34DE2" w14:paraId="57A96E7D" w14:textId="77777777" w:rsidTr="00E50AF3">
        <w:trPr>
          <w:cantSplit/>
          <w:trHeight w:val="60"/>
        </w:trPr>
        <w:tc>
          <w:tcPr>
            <w:tcW w:w="1871" w:type="dxa"/>
          </w:tcPr>
          <w:p w14:paraId="5277C73F" w14:textId="77777777" w:rsidR="00C37581" w:rsidRDefault="00C37581" w:rsidP="00C37581">
            <w:pPr>
              <w:pStyle w:val="TableSideHeading"/>
              <w:keepLines w:val="0"/>
            </w:pPr>
            <w:r>
              <w:rPr>
                <w:rFonts w:hint="cs"/>
                <w:rtl/>
              </w:rPr>
              <w:t>מטרה</w:t>
            </w:r>
          </w:p>
          <w:p w14:paraId="43FF9128" w14:textId="77777777" w:rsidR="00C37581" w:rsidRDefault="00C37581" w:rsidP="00E50AF3">
            <w:pPr>
              <w:pStyle w:val="TableSideHeading"/>
              <w:keepLines w:val="0"/>
            </w:pPr>
          </w:p>
        </w:tc>
        <w:tc>
          <w:tcPr>
            <w:tcW w:w="624" w:type="dxa"/>
          </w:tcPr>
          <w:p w14:paraId="3E707855" w14:textId="1A85991A" w:rsidR="00C37581" w:rsidRDefault="002E215F" w:rsidP="00E50AF3">
            <w:pPr>
              <w:pStyle w:val="TableText"/>
              <w:keepLines w:val="0"/>
            </w:pPr>
            <w:r>
              <w:rPr>
                <w:rFonts w:hint="cs"/>
                <w:rtl/>
              </w:rPr>
              <w:t>1.</w:t>
            </w:r>
          </w:p>
        </w:tc>
        <w:tc>
          <w:tcPr>
            <w:tcW w:w="7146" w:type="dxa"/>
            <w:gridSpan w:val="2"/>
          </w:tcPr>
          <w:p w14:paraId="7BC535AF" w14:textId="1C4DA1AB" w:rsidR="00C37581" w:rsidRPr="00C37581" w:rsidRDefault="00C37581" w:rsidP="00C37581">
            <w:pPr>
              <w:pStyle w:val="TableText"/>
              <w:keepLines w:val="0"/>
              <w:jc w:val="both"/>
            </w:pPr>
            <w:r>
              <w:rPr>
                <w:rFonts w:hint="cs"/>
                <w:rtl/>
              </w:rPr>
              <w:t>חוק זה מטרתו להסדיר את</w:t>
            </w:r>
            <w:r w:rsidR="00131699">
              <w:rPr>
                <w:rFonts w:hint="cs"/>
                <w:rtl/>
              </w:rPr>
              <w:t xml:space="preserve"> מועד</w:t>
            </w:r>
            <w:r>
              <w:rPr>
                <w:rFonts w:hint="cs"/>
                <w:rtl/>
              </w:rPr>
              <w:t xml:space="preserve"> התשלומים בידי מוסדות המדינה, כאמור בחוק זה, לספק או לנותן שירותים, בעד ביצוע עבודה, מתן שירות או הספקת טובין. </w:t>
            </w:r>
          </w:p>
        </w:tc>
      </w:tr>
      <w:tr w:rsidR="00C37581" w:rsidRPr="00C34DE2" w14:paraId="0AB9F3DB" w14:textId="77777777" w:rsidTr="00E50AF3">
        <w:trPr>
          <w:cantSplit/>
          <w:trHeight w:val="60"/>
        </w:trPr>
        <w:tc>
          <w:tcPr>
            <w:tcW w:w="1871" w:type="dxa"/>
          </w:tcPr>
          <w:p w14:paraId="1A008B40" w14:textId="1F407FB6" w:rsidR="00C37581" w:rsidRDefault="00C37581" w:rsidP="00E50AF3">
            <w:pPr>
              <w:pStyle w:val="TableSideHeading"/>
              <w:keepLines w:val="0"/>
            </w:pPr>
            <w:r>
              <w:rPr>
                <w:rFonts w:hint="cs"/>
                <w:rtl/>
              </w:rPr>
              <w:t xml:space="preserve">הסדר </w:t>
            </w:r>
            <w:r w:rsidRPr="00A71F36">
              <w:rPr>
                <w:rFonts w:hint="cs"/>
                <w:rtl/>
              </w:rPr>
              <w:t>תשלום לספק או לנותן שירות</w:t>
            </w:r>
            <w:r>
              <w:rPr>
                <w:rFonts w:hint="cs"/>
                <w:rtl/>
              </w:rPr>
              <w:t>ים</w:t>
            </w:r>
          </w:p>
        </w:tc>
        <w:tc>
          <w:tcPr>
            <w:tcW w:w="624" w:type="dxa"/>
          </w:tcPr>
          <w:p w14:paraId="21EAE7ED" w14:textId="58A33ED0" w:rsidR="00C37581" w:rsidRDefault="002E215F" w:rsidP="00C37581">
            <w:pPr>
              <w:pStyle w:val="TableText"/>
              <w:keepLines w:val="0"/>
            </w:pPr>
            <w:r>
              <w:rPr>
                <w:rFonts w:hint="cs"/>
                <w:rtl/>
              </w:rPr>
              <w:t>2.</w:t>
            </w:r>
          </w:p>
        </w:tc>
        <w:tc>
          <w:tcPr>
            <w:tcW w:w="7146" w:type="dxa"/>
            <w:gridSpan w:val="2"/>
          </w:tcPr>
          <w:p w14:paraId="4BD02220" w14:textId="5BB2AC57" w:rsidR="00C37581" w:rsidRPr="00B90F75" w:rsidRDefault="00C37581" w:rsidP="00B90F75">
            <w:pPr>
              <w:pStyle w:val="TableText"/>
              <w:keepLines w:val="0"/>
              <w:jc w:val="both"/>
            </w:pPr>
            <w:r w:rsidRPr="00B90F75">
              <w:rPr>
                <w:rFonts w:hint="cs"/>
                <w:rtl/>
              </w:rPr>
              <w:t xml:space="preserve">מסר ספק או נותן שירותים חשבון למשרד ממשרדי הממשלה, </w:t>
            </w:r>
            <w:r w:rsidR="002E215F" w:rsidRPr="00B90F75">
              <w:rPr>
                <w:rFonts w:hint="cs"/>
                <w:rtl/>
              </w:rPr>
              <w:t>ל</w:t>
            </w:r>
            <w:r w:rsidRPr="00B90F75">
              <w:rPr>
                <w:rFonts w:hint="cs"/>
                <w:rtl/>
              </w:rPr>
              <w:t>מערכת הביטחון,</w:t>
            </w:r>
            <w:r w:rsidR="002D1F19" w:rsidRPr="00B90F75">
              <w:rPr>
                <w:rFonts w:hint="cs"/>
                <w:rtl/>
              </w:rPr>
              <w:t xml:space="preserve"> לחברה ממשלתית,</w:t>
            </w:r>
            <w:r w:rsidRPr="00B90F75">
              <w:rPr>
                <w:rFonts w:hint="cs"/>
                <w:rtl/>
              </w:rPr>
              <w:t xml:space="preserve"> לחברה בת-ממשלתית, לתאגיד מקומי, למוסד להשכלה גבוהה, </w:t>
            </w:r>
            <w:r w:rsidR="002A7418" w:rsidRPr="00B90F75">
              <w:rPr>
                <w:rFonts w:hint="cs"/>
                <w:rtl/>
              </w:rPr>
              <w:t>ל</w:t>
            </w:r>
            <w:r w:rsidRPr="00B90F75">
              <w:rPr>
                <w:rFonts w:hint="cs"/>
                <w:rtl/>
              </w:rPr>
              <w:t xml:space="preserve">מועצה דתית או </w:t>
            </w:r>
            <w:r w:rsidR="002A7418" w:rsidRPr="00B90F75">
              <w:rPr>
                <w:rFonts w:hint="cs"/>
                <w:rtl/>
              </w:rPr>
              <w:t>ל</w:t>
            </w:r>
            <w:r w:rsidRPr="00B90F75">
              <w:rPr>
                <w:rFonts w:hint="cs"/>
                <w:rtl/>
              </w:rPr>
              <w:t>בנק ישראל, בעד ביצוע עבודה, מתן שירות או הספקת טובין, ישולם לו הסכום הנקוב בחשבון לא יאוחר משלושים ימים מתום החודש שבו נמסר החשבון</w:t>
            </w:r>
            <w:r w:rsidR="002A7418" w:rsidRPr="00B90F75">
              <w:rPr>
                <w:rFonts w:hint="cs"/>
                <w:rtl/>
              </w:rPr>
              <w:t>;</w:t>
            </w:r>
            <w:r w:rsidRPr="00B90F75">
              <w:rPr>
                <w:rFonts w:hint="cs"/>
                <w:rtl/>
              </w:rPr>
              <w:t xml:space="preserve"> בסעיף זה</w:t>
            </w:r>
            <w:r w:rsidR="002A7418" w:rsidRPr="00B90F75">
              <w:rPr>
                <w:rFonts w:hint="cs"/>
                <w:rtl/>
              </w:rPr>
              <w:t xml:space="preserve"> </w:t>
            </w:r>
            <w:r w:rsidR="002A7418" w:rsidRPr="00B90F75">
              <w:rPr>
                <w:rFonts w:hint="eastAsia"/>
                <w:rtl/>
              </w:rPr>
              <w:t>–</w:t>
            </w:r>
            <w:r w:rsidR="002A7418" w:rsidRPr="00B90F75">
              <w:rPr>
                <w:rFonts w:hint="cs"/>
                <w:rtl/>
              </w:rPr>
              <w:t xml:space="preserve"> </w:t>
            </w:r>
          </w:p>
        </w:tc>
      </w:tr>
      <w:tr w:rsidR="00FF0063" w:rsidRPr="00C34DE2" w14:paraId="5ED05F47" w14:textId="77777777" w:rsidTr="00E50AF3">
        <w:trPr>
          <w:cantSplit/>
          <w:trHeight w:val="60"/>
        </w:trPr>
        <w:tc>
          <w:tcPr>
            <w:tcW w:w="1871" w:type="dxa"/>
          </w:tcPr>
          <w:p w14:paraId="70065A0C" w14:textId="77777777" w:rsidR="00FF0063" w:rsidRDefault="00FF0063" w:rsidP="00E50AF3">
            <w:pPr>
              <w:pStyle w:val="TableSideHeading"/>
              <w:keepLines w:val="0"/>
              <w:rPr>
                <w:rtl/>
              </w:rPr>
            </w:pPr>
          </w:p>
        </w:tc>
        <w:tc>
          <w:tcPr>
            <w:tcW w:w="624" w:type="dxa"/>
          </w:tcPr>
          <w:p w14:paraId="3EB98468" w14:textId="77777777" w:rsidR="00FF0063" w:rsidRDefault="00FF0063" w:rsidP="00C37581">
            <w:pPr>
              <w:pStyle w:val="TableText"/>
              <w:keepLines w:val="0"/>
              <w:rPr>
                <w:rtl/>
              </w:rPr>
            </w:pPr>
          </w:p>
        </w:tc>
        <w:tc>
          <w:tcPr>
            <w:tcW w:w="7146" w:type="dxa"/>
            <w:gridSpan w:val="2"/>
          </w:tcPr>
          <w:p w14:paraId="6E1961F8" w14:textId="4BF2EABE" w:rsidR="00FF0063" w:rsidRPr="00B90F75" w:rsidRDefault="00FF0063" w:rsidP="00B90F75">
            <w:pPr>
              <w:pStyle w:val="TableBlockOutdent"/>
              <w:rPr>
                <w:rtl/>
              </w:rPr>
            </w:pPr>
            <w:r w:rsidRPr="00B90F75">
              <w:rPr>
                <w:rFonts w:hint="cs"/>
                <w:rtl/>
              </w:rPr>
              <w:t>"חשבון"</w:t>
            </w:r>
            <w:r w:rsidR="00D1382F" w:rsidRPr="00B90F75">
              <w:rPr>
                <w:rFonts w:hint="cs"/>
                <w:rtl/>
              </w:rPr>
              <w:t xml:space="preserve"> </w:t>
            </w:r>
            <w:r w:rsidR="00D1382F" w:rsidRPr="00B90F75">
              <w:rPr>
                <w:rFonts w:hint="eastAsia"/>
                <w:rtl/>
              </w:rPr>
              <w:t>–</w:t>
            </w:r>
            <w:r w:rsidR="00D1382F" w:rsidRPr="00B90F75">
              <w:rPr>
                <w:rFonts w:hint="cs"/>
                <w:rtl/>
              </w:rPr>
              <w:t xml:space="preserve"> </w:t>
            </w:r>
            <w:r w:rsidRPr="00B90F75">
              <w:rPr>
                <w:rFonts w:hint="cs"/>
                <w:rtl/>
              </w:rPr>
              <w:t>דרישה לתשלום או חשבונית שנמסרו כדין</w:t>
            </w:r>
            <w:r w:rsidR="00D1382F" w:rsidRPr="00B90F75">
              <w:rPr>
                <w:rFonts w:hint="cs"/>
                <w:rtl/>
              </w:rPr>
              <w:t>;</w:t>
            </w:r>
          </w:p>
        </w:tc>
      </w:tr>
      <w:tr w:rsidR="00474EA8" w:rsidRPr="00C34DE2" w14:paraId="1EDD1320" w14:textId="77777777" w:rsidTr="00E50AF3">
        <w:trPr>
          <w:cantSplit/>
          <w:trHeight w:val="60"/>
        </w:trPr>
        <w:tc>
          <w:tcPr>
            <w:tcW w:w="1871" w:type="dxa"/>
          </w:tcPr>
          <w:p w14:paraId="49CD0F83" w14:textId="77777777" w:rsidR="00474EA8" w:rsidRDefault="00474EA8" w:rsidP="00E50AF3">
            <w:pPr>
              <w:pStyle w:val="TableSideHeading"/>
              <w:keepLines w:val="0"/>
              <w:rPr>
                <w:rtl/>
              </w:rPr>
            </w:pPr>
          </w:p>
        </w:tc>
        <w:tc>
          <w:tcPr>
            <w:tcW w:w="624" w:type="dxa"/>
          </w:tcPr>
          <w:p w14:paraId="5AD8FC37" w14:textId="77777777" w:rsidR="00474EA8" w:rsidRDefault="00474EA8" w:rsidP="00C37581">
            <w:pPr>
              <w:pStyle w:val="TableText"/>
              <w:keepLines w:val="0"/>
              <w:rPr>
                <w:rtl/>
              </w:rPr>
            </w:pPr>
          </w:p>
        </w:tc>
        <w:tc>
          <w:tcPr>
            <w:tcW w:w="7146" w:type="dxa"/>
            <w:gridSpan w:val="2"/>
          </w:tcPr>
          <w:p w14:paraId="5150ABD6" w14:textId="121B418A" w:rsidR="00474EA8" w:rsidRPr="00B90F75" w:rsidRDefault="00474EA8" w:rsidP="00D1382F">
            <w:pPr>
              <w:pStyle w:val="TableBlockOutdent"/>
              <w:rPr>
                <w:rtl/>
              </w:rPr>
            </w:pPr>
            <w:r w:rsidRPr="00B90F75">
              <w:rPr>
                <w:rFonts w:hint="cs"/>
                <w:rtl/>
              </w:rPr>
              <w:t xml:space="preserve">"מוסד להשכלה גבוהה", </w:t>
            </w:r>
            <w:r w:rsidR="005F7D03" w:rsidRPr="00B90F75">
              <w:rPr>
                <w:rFonts w:hint="cs"/>
                <w:rtl/>
              </w:rPr>
              <w:t>"מועצה דתית" ו-</w:t>
            </w:r>
            <w:r w:rsidRPr="00B90F75">
              <w:rPr>
                <w:rFonts w:hint="cs"/>
                <w:rtl/>
              </w:rPr>
              <w:t>"מערכת הביטחון</w:t>
            </w:r>
            <w:r w:rsidR="005F7D03" w:rsidRPr="00B90F75">
              <w:rPr>
                <w:rFonts w:hint="cs"/>
                <w:rtl/>
              </w:rPr>
              <w:t>" – כהגדרתם בחוק חובת המכרזים, התשנ"ב–1992</w:t>
            </w:r>
            <w:r w:rsidR="005F7D03" w:rsidRPr="00B90F75">
              <w:rPr>
                <w:rStyle w:val="a7"/>
                <w:rtl/>
              </w:rPr>
              <w:footnoteReference w:id="2"/>
            </w:r>
            <w:r w:rsidR="005F7D03" w:rsidRPr="00B90F75">
              <w:rPr>
                <w:rFonts w:hint="cs"/>
                <w:rtl/>
              </w:rPr>
              <w:t>;</w:t>
            </w:r>
          </w:p>
        </w:tc>
      </w:tr>
      <w:tr w:rsidR="00393B48" w:rsidRPr="00C34DE2" w14:paraId="660126B3" w14:textId="77777777" w:rsidTr="00E50AF3">
        <w:trPr>
          <w:cantSplit/>
          <w:trHeight w:val="60"/>
        </w:trPr>
        <w:tc>
          <w:tcPr>
            <w:tcW w:w="1871" w:type="dxa"/>
          </w:tcPr>
          <w:p w14:paraId="68CC2D84" w14:textId="77777777" w:rsidR="00393B48" w:rsidRDefault="00393B48" w:rsidP="00E50AF3">
            <w:pPr>
              <w:pStyle w:val="TableSideHeading"/>
              <w:keepLines w:val="0"/>
              <w:rPr>
                <w:rtl/>
              </w:rPr>
            </w:pPr>
          </w:p>
        </w:tc>
        <w:tc>
          <w:tcPr>
            <w:tcW w:w="624" w:type="dxa"/>
          </w:tcPr>
          <w:p w14:paraId="7BFAFF49" w14:textId="77777777" w:rsidR="00393B48" w:rsidRDefault="00393B48" w:rsidP="00C37581">
            <w:pPr>
              <w:pStyle w:val="TableText"/>
              <w:keepLines w:val="0"/>
              <w:rPr>
                <w:rtl/>
              </w:rPr>
            </w:pPr>
          </w:p>
        </w:tc>
        <w:tc>
          <w:tcPr>
            <w:tcW w:w="7146" w:type="dxa"/>
            <w:gridSpan w:val="2"/>
          </w:tcPr>
          <w:p w14:paraId="672087A8" w14:textId="2B8005AC" w:rsidR="00393B48" w:rsidRPr="00B90F75" w:rsidRDefault="00393B48" w:rsidP="00D1382F">
            <w:pPr>
              <w:pStyle w:val="TableBlockOutdent"/>
              <w:rPr>
                <w:rtl/>
              </w:rPr>
            </w:pPr>
            <w:r w:rsidRPr="00B90F75">
              <w:rPr>
                <w:rFonts w:hint="cs"/>
                <w:rtl/>
              </w:rPr>
              <w:t>"משרדי הממשלה" – לרבות יחידות סמך;</w:t>
            </w:r>
          </w:p>
        </w:tc>
      </w:tr>
      <w:tr w:rsidR="00FF0063" w:rsidRPr="00C34DE2" w14:paraId="677C6F0E" w14:textId="77777777" w:rsidTr="00E50AF3">
        <w:trPr>
          <w:cantSplit/>
          <w:trHeight w:val="60"/>
        </w:trPr>
        <w:tc>
          <w:tcPr>
            <w:tcW w:w="1871" w:type="dxa"/>
          </w:tcPr>
          <w:p w14:paraId="36C70ADB" w14:textId="77777777" w:rsidR="00FF0063" w:rsidRDefault="00FF0063" w:rsidP="00E50AF3">
            <w:pPr>
              <w:pStyle w:val="TableSideHeading"/>
              <w:keepLines w:val="0"/>
              <w:rPr>
                <w:rtl/>
              </w:rPr>
            </w:pPr>
          </w:p>
        </w:tc>
        <w:tc>
          <w:tcPr>
            <w:tcW w:w="624" w:type="dxa"/>
          </w:tcPr>
          <w:p w14:paraId="0CF8563E" w14:textId="77777777" w:rsidR="00FF0063" w:rsidRDefault="00FF0063" w:rsidP="00C37581">
            <w:pPr>
              <w:pStyle w:val="TableText"/>
              <w:keepLines w:val="0"/>
              <w:rPr>
                <w:rtl/>
              </w:rPr>
            </w:pPr>
          </w:p>
        </w:tc>
        <w:tc>
          <w:tcPr>
            <w:tcW w:w="7146" w:type="dxa"/>
            <w:gridSpan w:val="2"/>
          </w:tcPr>
          <w:p w14:paraId="2E114478" w14:textId="4D59C702" w:rsidR="00FF0063" w:rsidRPr="00B90F75" w:rsidRDefault="00FF0063" w:rsidP="00B90F75">
            <w:pPr>
              <w:pStyle w:val="TableBlockOutdent"/>
              <w:rPr>
                <w:rtl/>
              </w:rPr>
            </w:pPr>
            <w:r w:rsidRPr="00B90F75">
              <w:rPr>
                <w:rFonts w:hint="cs"/>
                <w:rtl/>
              </w:rPr>
              <w:t>"תאגיד מקומי"</w:t>
            </w:r>
            <w:r w:rsidR="00D1382F" w:rsidRPr="00B90F75">
              <w:rPr>
                <w:rFonts w:hint="cs"/>
                <w:rtl/>
              </w:rPr>
              <w:t xml:space="preserve"> </w:t>
            </w:r>
            <w:r w:rsidR="00D1382F" w:rsidRPr="00B90F75">
              <w:rPr>
                <w:rFonts w:hint="eastAsia"/>
                <w:rtl/>
              </w:rPr>
              <w:t>–</w:t>
            </w:r>
            <w:r w:rsidR="00D1382F" w:rsidRPr="00B90F75">
              <w:rPr>
                <w:rFonts w:hint="cs"/>
                <w:rtl/>
              </w:rPr>
              <w:t xml:space="preserve"> </w:t>
            </w:r>
            <w:r w:rsidRPr="00B90F75">
              <w:rPr>
                <w:rFonts w:hint="cs"/>
                <w:rtl/>
              </w:rPr>
              <w:t>תאגיד אשר לפחות מחצית מההון הרשום שלו או לפחות מחצית מכוח ההצבעה בו מוחזקים, במישרין או בעקיפין, בידי עירייה, מועצה אזורית, מועצה מקומית או איגוד ערים כהגדרתו בחוק איגודי ערים, התשט"ו</w:t>
            </w:r>
            <w:r w:rsidR="00590CFB" w:rsidRPr="00B90F75">
              <w:rPr>
                <w:rFonts w:hint="eastAsia"/>
                <w:rtl/>
              </w:rPr>
              <w:t>–</w:t>
            </w:r>
            <w:r w:rsidRPr="00B90F75">
              <w:rPr>
                <w:rFonts w:hint="cs"/>
                <w:rtl/>
              </w:rPr>
              <w:t>1995</w:t>
            </w:r>
            <w:r w:rsidR="00590CFB" w:rsidRPr="00B90F75">
              <w:rPr>
                <w:rStyle w:val="a7"/>
                <w:rtl/>
              </w:rPr>
              <w:footnoteReference w:id="3"/>
            </w:r>
            <w:r w:rsidRPr="00B90F75">
              <w:rPr>
                <w:rFonts w:hint="cs"/>
                <w:rtl/>
              </w:rPr>
              <w:t xml:space="preserve"> (בהגדרה זו</w:t>
            </w:r>
            <w:r w:rsidR="00590CFB" w:rsidRPr="00B90F75">
              <w:rPr>
                <w:rFonts w:hint="cs"/>
                <w:rtl/>
              </w:rPr>
              <w:t xml:space="preserve"> </w:t>
            </w:r>
            <w:r w:rsidR="00590CFB" w:rsidRPr="00B90F75">
              <w:rPr>
                <w:rFonts w:hint="eastAsia"/>
                <w:rtl/>
              </w:rPr>
              <w:t>–</w:t>
            </w:r>
            <w:r w:rsidR="00590CFB" w:rsidRPr="00B90F75">
              <w:rPr>
                <w:rFonts w:hint="cs"/>
                <w:rtl/>
              </w:rPr>
              <w:t xml:space="preserve"> </w:t>
            </w:r>
            <w:r w:rsidRPr="00B90F75">
              <w:rPr>
                <w:rFonts w:hint="cs"/>
                <w:rtl/>
              </w:rPr>
              <w:t>רשות מקומית) או בידי תאגיד מקומי</w:t>
            </w:r>
            <w:r w:rsidR="000634C7" w:rsidRPr="00B90F75">
              <w:rPr>
                <w:rFonts w:hint="cs"/>
                <w:rtl/>
              </w:rPr>
              <w:t xml:space="preserve"> אחר</w:t>
            </w:r>
            <w:r w:rsidRPr="00B90F75">
              <w:rPr>
                <w:rFonts w:hint="cs"/>
                <w:rtl/>
              </w:rPr>
              <w:t>, או שיש לרשות מקומית או לתאגיד מקומי אחר, במישרין או בעקיפין, זכות למנות לפחות מחצית ממספר הדירקטורים בו או את המנהל הכללי שלו, והכל כשההחזקה או זכות המינוי כאמור הם של הרשות המקומית, לבדה או יחד עם אחד או יותר מאלה:</w:t>
            </w:r>
            <w:r w:rsidR="00D21065" w:rsidRPr="00B90F75" w:rsidDel="00EB361C">
              <w:rPr>
                <w:rFonts w:hint="cs"/>
                <w:rtl/>
              </w:rPr>
              <w:t xml:space="preserve"> </w:t>
            </w:r>
          </w:p>
        </w:tc>
      </w:tr>
      <w:tr w:rsidR="00EB361C" w14:paraId="42390D10" w14:textId="77777777">
        <w:trPr>
          <w:cantSplit/>
          <w:trHeight w:val="60"/>
        </w:trPr>
        <w:tc>
          <w:tcPr>
            <w:tcW w:w="1871" w:type="dxa"/>
          </w:tcPr>
          <w:p w14:paraId="2517F678" w14:textId="77777777" w:rsidR="00EB361C" w:rsidRDefault="00EB361C">
            <w:pPr>
              <w:pStyle w:val="TableSideHeading"/>
            </w:pPr>
          </w:p>
        </w:tc>
        <w:tc>
          <w:tcPr>
            <w:tcW w:w="624" w:type="dxa"/>
          </w:tcPr>
          <w:p w14:paraId="23573096" w14:textId="77777777" w:rsidR="00EB361C" w:rsidRDefault="00EB361C">
            <w:pPr>
              <w:pStyle w:val="TableText"/>
            </w:pPr>
          </w:p>
        </w:tc>
        <w:tc>
          <w:tcPr>
            <w:tcW w:w="624" w:type="dxa"/>
          </w:tcPr>
          <w:p w14:paraId="62EFBFE9" w14:textId="77777777" w:rsidR="00EB361C" w:rsidRPr="00B90F75" w:rsidRDefault="00EB361C">
            <w:pPr>
              <w:pStyle w:val="TableText"/>
            </w:pPr>
          </w:p>
        </w:tc>
        <w:tc>
          <w:tcPr>
            <w:tcW w:w="6522" w:type="dxa"/>
          </w:tcPr>
          <w:p w14:paraId="22A22A2F" w14:textId="1F8064D2" w:rsidR="00EB361C" w:rsidRPr="00B90F75" w:rsidRDefault="00EB361C">
            <w:pPr>
              <w:pStyle w:val="TableBlock"/>
            </w:pPr>
            <w:r w:rsidRPr="00B90F75">
              <w:rPr>
                <w:rFonts w:hint="cs"/>
                <w:rtl/>
              </w:rPr>
              <w:t>(1)</w:t>
            </w:r>
            <w:r w:rsidRPr="00B90F75">
              <w:rPr>
                <w:rtl/>
              </w:rPr>
              <w:tab/>
            </w:r>
            <w:r w:rsidRPr="00B90F75">
              <w:rPr>
                <w:rFonts w:hint="cs"/>
                <w:rtl/>
              </w:rPr>
              <w:t>רשות מקומית</w:t>
            </w:r>
            <w:r w:rsidR="00D21065" w:rsidRPr="00B90F75">
              <w:rPr>
                <w:rFonts w:hint="cs"/>
                <w:rtl/>
              </w:rPr>
              <w:t xml:space="preserve"> אחרת, אחת או יותר;</w:t>
            </w:r>
          </w:p>
        </w:tc>
      </w:tr>
      <w:tr w:rsidR="00EB361C" w14:paraId="4D8EC9A0" w14:textId="77777777">
        <w:trPr>
          <w:cantSplit/>
          <w:trHeight w:val="60"/>
        </w:trPr>
        <w:tc>
          <w:tcPr>
            <w:tcW w:w="1871" w:type="dxa"/>
          </w:tcPr>
          <w:p w14:paraId="3282A10F" w14:textId="77777777" w:rsidR="00EB361C" w:rsidRDefault="00EB361C">
            <w:pPr>
              <w:pStyle w:val="TableSideHeading"/>
              <w:rPr>
                <w:rtl/>
              </w:rPr>
            </w:pPr>
          </w:p>
        </w:tc>
        <w:tc>
          <w:tcPr>
            <w:tcW w:w="624" w:type="dxa"/>
          </w:tcPr>
          <w:p w14:paraId="586995C3" w14:textId="77777777" w:rsidR="00EB361C" w:rsidRDefault="00EB361C" w:rsidP="00B90F75">
            <w:pPr>
              <w:pStyle w:val="TableText"/>
            </w:pPr>
          </w:p>
        </w:tc>
        <w:tc>
          <w:tcPr>
            <w:tcW w:w="624" w:type="dxa"/>
          </w:tcPr>
          <w:p w14:paraId="65A34775" w14:textId="77777777" w:rsidR="00EB361C" w:rsidRPr="00B90F75" w:rsidRDefault="00EB361C">
            <w:pPr>
              <w:pStyle w:val="TableText"/>
            </w:pPr>
          </w:p>
        </w:tc>
        <w:tc>
          <w:tcPr>
            <w:tcW w:w="6522" w:type="dxa"/>
          </w:tcPr>
          <w:p w14:paraId="43F949BE" w14:textId="1BA88EFA" w:rsidR="00EB361C" w:rsidRPr="00B90F75" w:rsidRDefault="00EB361C">
            <w:pPr>
              <w:pStyle w:val="TableBlock"/>
              <w:rPr>
                <w:rtl/>
              </w:rPr>
            </w:pPr>
            <w:r w:rsidRPr="00B90F75">
              <w:rPr>
                <w:rFonts w:hint="cs"/>
                <w:rtl/>
              </w:rPr>
              <w:t>(2)</w:t>
            </w:r>
            <w:r w:rsidRPr="00B90F75">
              <w:rPr>
                <w:rtl/>
              </w:rPr>
              <w:tab/>
            </w:r>
            <w:r w:rsidRPr="00B90F75">
              <w:rPr>
                <w:rFonts w:hint="cs"/>
                <w:rtl/>
              </w:rPr>
              <w:t>המדינה</w:t>
            </w:r>
            <w:r w:rsidR="00D21065" w:rsidRPr="00B90F75">
              <w:rPr>
                <w:rFonts w:hint="cs"/>
                <w:rtl/>
              </w:rPr>
              <w:t>;</w:t>
            </w:r>
          </w:p>
        </w:tc>
      </w:tr>
      <w:tr w:rsidR="00EB361C" w14:paraId="333CA8CF" w14:textId="77777777">
        <w:trPr>
          <w:cantSplit/>
          <w:trHeight w:val="60"/>
        </w:trPr>
        <w:tc>
          <w:tcPr>
            <w:tcW w:w="1871" w:type="dxa"/>
          </w:tcPr>
          <w:p w14:paraId="6FC39583" w14:textId="77777777" w:rsidR="00EB361C" w:rsidRDefault="00EB361C">
            <w:pPr>
              <w:pStyle w:val="TableSideHeading"/>
              <w:rPr>
                <w:rtl/>
              </w:rPr>
            </w:pPr>
          </w:p>
        </w:tc>
        <w:tc>
          <w:tcPr>
            <w:tcW w:w="624" w:type="dxa"/>
          </w:tcPr>
          <w:p w14:paraId="3D4BB3BB" w14:textId="77777777" w:rsidR="00EB361C" w:rsidRDefault="00EB361C" w:rsidP="00B90F75">
            <w:pPr>
              <w:pStyle w:val="TableText"/>
            </w:pPr>
          </w:p>
        </w:tc>
        <w:tc>
          <w:tcPr>
            <w:tcW w:w="624" w:type="dxa"/>
          </w:tcPr>
          <w:p w14:paraId="1C3AF16A" w14:textId="77777777" w:rsidR="00EB361C" w:rsidRPr="00B90F75" w:rsidRDefault="00EB361C">
            <w:pPr>
              <w:pStyle w:val="TableText"/>
            </w:pPr>
          </w:p>
        </w:tc>
        <w:tc>
          <w:tcPr>
            <w:tcW w:w="6522" w:type="dxa"/>
          </w:tcPr>
          <w:p w14:paraId="1C4C393D" w14:textId="2C81D9A0" w:rsidR="00EB361C" w:rsidRPr="00B90F75" w:rsidRDefault="00EB361C">
            <w:pPr>
              <w:pStyle w:val="TableBlock"/>
              <w:rPr>
                <w:rtl/>
              </w:rPr>
            </w:pPr>
            <w:r w:rsidRPr="00B90F75">
              <w:rPr>
                <w:rFonts w:hint="cs"/>
                <w:rtl/>
              </w:rPr>
              <w:t>(3)</w:t>
            </w:r>
            <w:r w:rsidRPr="00B90F75">
              <w:rPr>
                <w:rtl/>
              </w:rPr>
              <w:tab/>
            </w:r>
            <w:r w:rsidRPr="00B90F75">
              <w:rPr>
                <w:rFonts w:hint="cs"/>
                <w:rtl/>
              </w:rPr>
              <w:t>תאגיד מקומי אחר, אחד או יותר</w:t>
            </w:r>
            <w:r w:rsidR="00D21065" w:rsidRPr="00B90F75">
              <w:rPr>
                <w:rFonts w:hint="cs"/>
                <w:rtl/>
              </w:rPr>
              <w:t>.</w:t>
            </w:r>
          </w:p>
        </w:tc>
      </w:tr>
      <w:tr w:rsidR="00C37581" w:rsidRPr="00C34DE2" w14:paraId="48D62686" w14:textId="77777777" w:rsidTr="00E50AF3">
        <w:trPr>
          <w:cantSplit/>
          <w:trHeight w:val="60"/>
        </w:trPr>
        <w:tc>
          <w:tcPr>
            <w:tcW w:w="1871" w:type="dxa"/>
          </w:tcPr>
          <w:p w14:paraId="5ECC2790" w14:textId="6AB0BE70" w:rsidR="00C37581" w:rsidRDefault="00C37581" w:rsidP="00E50AF3">
            <w:pPr>
              <w:pStyle w:val="TableSideHeading"/>
              <w:keepLines w:val="0"/>
            </w:pPr>
          </w:p>
        </w:tc>
        <w:tc>
          <w:tcPr>
            <w:tcW w:w="624" w:type="dxa"/>
          </w:tcPr>
          <w:p w14:paraId="5916B699" w14:textId="77777777" w:rsidR="00C37581" w:rsidRDefault="00C37581" w:rsidP="00C37581">
            <w:pPr>
              <w:pStyle w:val="TableText"/>
              <w:keepLines w:val="0"/>
            </w:pPr>
          </w:p>
        </w:tc>
        <w:tc>
          <w:tcPr>
            <w:tcW w:w="7146" w:type="dxa"/>
            <w:gridSpan w:val="2"/>
          </w:tcPr>
          <w:p w14:paraId="5767EC03" w14:textId="7AA33D24" w:rsidR="00C37581" w:rsidRDefault="00C37581" w:rsidP="00B90F75">
            <w:pPr>
              <w:pStyle w:val="TableText"/>
              <w:keepLines w:val="0"/>
              <w:jc w:val="both"/>
              <w:rPr>
                <w:rtl/>
              </w:rPr>
            </w:pPr>
            <w:r w:rsidRPr="00B90F75">
              <w:rPr>
                <w:sz w:val="26"/>
                <w:rtl/>
              </w:rPr>
              <w:t>(ב)</w:t>
            </w:r>
            <w:r w:rsidRPr="00B90F75">
              <w:rPr>
                <w:sz w:val="26"/>
                <w:rtl/>
              </w:rPr>
              <w:tab/>
              <w:t>על אף האמור בסעיף קטן (א)</w:t>
            </w:r>
            <w:r w:rsidR="008C601F" w:rsidRPr="00B90F75">
              <w:rPr>
                <w:rFonts w:hint="cs"/>
                <w:sz w:val="26"/>
                <w:rtl/>
              </w:rPr>
              <w:t xml:space="preserve">, השר הממונה על הגוף שהתקשר עם הספק או עם נותן השירותים, או </w:t>
            </w:r>
            <w:r w:rsidRPr="00B90F75">
              <w:rPr>
                <w:sz w:val="26"/>
                <w:rtl/>
              </w:rPr>
              <w:t xml:space="preserve">המנהל הכללי של </w:t>
            </w:r>
            <w:r w:rsidR="008C601F" w:rsidRPr="00B90F75">
              <w:rPr>
                <w:rFonts w:hint="cs"/>
                <w:sz w:val="26"/>
                <w:rtl/>
              </w:rPr>
              <w:t>הגוף האמור,</w:t>
            </w:r>
            <w:r w:rsidRPr="00B90F75">
              <w:rPr>
                <w:sz w:val="26"/>
                <w:rtl/>
              </w:rPr>
              <w:t xml:space="preserve"> </w:t>
            </w:r>
            <w:r w:rsidR="008C601F" w:rsidRPr="00B90F75">
              <w:rPr>
                <w:rFonts w:hint="cs"/>
                <w:sz w:val="26"/>
                <w:rtl/>
              </w:rPr>
              <w:t>רשאי</w:t>
            </w:r>
            <w:r w:rsidR="002D7CB8" w:rsidRPr="00B90F75">
              <w:rPr>
                <w:rFonts w:hint="cs"/>
                <w:sz w:val="26"/>
                <w:rtl/>
              </w:rPr>
              <w:t xml:space="preserve"> </w:t>
            </w:r>
            <w:r w:rsidR="002D7CB8" w:rsidRPr="00B90F75">
              <w:rPr>
                <w:sz w:val="26"/>
                <w:rtl/>
              </w:rPr>
              <w:t>לדחות את התשלום</w:t>
            </w:r>
            <w:r w:rsidR="002D7CB8" w:rsidRPr="00B90F75">
              <w:rPr>
                <w:rFonts w:hint="cs"/>
                <w:sz w:val="26"/>
                <w:rtl/>
              </w:rPr>
              <w:t xml:space="preserve"> האמור</w:t>
            </w:r>
            <w:r w:rsidR="002D7CB8" w:rsidRPr="00B90F75">
              <w:rPr>
                <w:sz w:val="26"/>
                <w:rtl/>
              </w:rPr>
              <w:t xml:space="preserve"> בשלושים ימים נוספים</w:t>
            </w:r>
            <w:r w:rsidRPr="00B90F75">
              <w:rPr>
                <w:sz w:val="26"/>
                <w:rtl/>
              </w:rPr>
              <w:t>.</w:t>
            </w:r>
          </w:p>
        </w:tc>
      </w:tr>
      <w:tr w:rsidR="007940A6" w:rsidRPr="00C34DE2" w14:paraId="2D46CA25" w14:textId="77777777" w:rsidTr="00E50AF3">
        <w:trPr>
          <w:cantSplit/>
          <w:trHeight w:val="60"/>
        </w:trPr>
        <w:tc>
          <w:tcPr>
            <w:tcW w:w="1871" w:type="dxa"/>
          </w:tcPr>
          <w:p w14:paraId="5A00214C" w14:textId="6351DAF3" w:rsidR="007940A6" w:rsidRDefault="007940A6" w:rsidP="00E50AF3">
            <w:pPr>
              <w:pStyle w:val="TableSideHeading"/>
              <w:keepLines w:val="0"/>
            </w:pPr>
            <w:r>
              <w:rPr>
                <w:rFonts w:hint="cs"/>
                <w:rtl/>
              </w:rPr>
              <w:t>הצמדה וריבית</w:t>
            </w:r>
          </w:p>
        </w:tc>
        <w:tc>
          <w:tcPr>
            <w:tcW w:w="624" w:type="dxa"/>
          </w:tcPr>
          <w:p w14:paraId="520A4C48" w14:textId="00928336" w:rsidR="007940A6" w:rsidRDefault="007940A6" w:rsidP="007940A6">
            <w:pPr>
              <w:pStyle w:val="TableText"/>
            </w:pPr>
            <w:r>
              <w:rPr>
                <w:rFonts w:hint="cs"/>
                <w:rtl/>
              </w:rPr>
              <w:t>4.</w:t>
            </w:r>
          </w:p>
        </w:tc>
        <w:tc>
          <w:tcPr>
            <w:tcW w:w="7146" w:type="dxa"/>
            <w:gridSpan w:val="2"/>
          </w:tcPr>
          <w:p w14:paraId="701D40AB" w14:textId="33F19729" w:rsidR="007940A6" w:rsidRPr="00B90F75" w:rsidRDefault="007940A6" w:rsidP="00CE29DA">
            <w:pPr>
              <w:pStyle w:val="TableText"/>
              <w:keepLines w:val="0"/>
              <w:jc w:val="both"/>
              <w:rPr>
                <w:sz w:val="26"/>
                <w:rtl/>
              </w:rPr>
            </w:pPr>
            <w:r>
              <w:rPr>
                <w:rFonts w:hint="cs"/>
                <w:sz w:val="26"/>
                <w:rtl/>
              </w:rPr>
              <w:t>לא שילם גוף המנוי בסעיף קטן (א) סכום הנקוב בחשבון במועד לפי הוראות חוק זה, יחויב לשלם לספק או לנותן השירות, מלבד הסכום האמור, תוספת הפרשי הצמדה וריבית כהגדרתם בחוק פסיקת ריבית והצמדה, הת</w:t>
            </w:r>
            <w:r w:rsidR="00B90F75">
              <w:rPr>
                <w:rFonts w:hint="cs"/>
                <w:sz w:val="26"/>
                <w:rtl/>
              </w:rPr>
              <w:t>ש</w:t>
            </w:r>
            <w:r>
              <w:rPr>
                <w:rFonts w:hint="cs"/>
                <w:sz w:val="26"/>
                <w:rtl/>
              </w:rPr>
              <w:t>כ"א–1961</w:t>
            </w:r>
            <w:r>
              <w:rPr>
                <w:rStyle w:val="a7"/>
                <w:sz w:val="26"/>
                <w:rtl/>
              </w:rPr>
              <w:footnoteReference w:id="4"/>
            </w:r>
            <w:r>
              <w:rPr>
                <w:rFonts w:hint="cs"/>
                <w:sz w:val="26"/>
                <w:rtl/>
              </w:rPr>
              <w:t>, ותוספת ריבית בשיעור של 4 אחוזים לשנה בעד התקופה שבה עוכב התשלום.</w:t>
            </w:r>
            <w:r w:rsidDel="007D150A">
              <w:rPr>
                <w:sz w:val="26"/>
                <w:rtl/>
              </w:rPr>
              <w:t xml:space="preserve"> </w:t>
            </w:r>
          </w:p>
        </w:tc>
      </w:tr>
      <w:tr w:rsidR="00C37581" w:rsidRPr="00C34DE2" w14:paraId="65AA19B5" w14:textId="77777777" w:rsidTr="00E50AF3">
        <w:trPr>
          <w:cantSplit/>
          <w:trHeight w:val="60"/>
        </w:trPr>
        <w:tc>
          <w:tcPr>
            <w:tcW w:w="1871" w:type="dxa"/>
          </w:tcPr>
          <w:p w14:paraId="5395A9C2" w14:textId="6FCA332E" w:rsidR="00C37581" w:rsidRDefault="007940A6" w:rsidP="00E50AF3">
            <w:pPr>
              <w:pStyle w:val="TableSideHeading"/>
              <w:keepLines w:val="0"/>
            </w:pPr>
            <w:r>
              <w:rPr>
                <w:rFonts w:hint="cs"/>
                <w:rtl/>
              </w:rPr>
              <w:t>סייג לתחולת החוק על מוסדות מסויימים</w:t>
            </w:r>
          </w:p>
        </w:tc>
        <w:tc>
          <w:tcPr>
            <w:tcW w:w="624" w:type="dxa"/>
          </w:tcPr>
          <w:p w14:paraId="2F9E48E3" w14:textId="0B6927EE" w:rsidR="00C37581" w:rsidRPr="00B90F75" w:rsidRDefault="007940A6" w:rsidP="00C37581">
            <w:pPr>
              <w:pStyle w:val="TableText"/>
              <w:keepLines w:val="0"/>
            </w:pPr>
            <w:r>
              <w:rPr>
                <w:rFonts w:hint="cs"/>
                <w:rtl/>
              </w:rPr>
              <w:t>5.</w:t>
            </w:r>
          </w:p>
        </w:tc>
        <w:tc>
          <w:tcPr>
            <w:tcW w:w="7146" w:type="dxa"/>
            <w:gridSpan w:val="2"/>
          </w:tcPr>
          <w:p w14:paraId="665F00AF" w14:textId="51F0FE0F" w:rsidR="00C37581" w:rsidRDefault="007940A6" w:rsidP="00B90F75">
            <w:pPr>
              <w:pStyle w:val="TableText"/>
              <w:keepLines w:val="0"/>
              <w:jc w:val="both"/>
              <w:rPr>
                <w:rtl/>
              </w:rPr>
            </w:pPr>
            <w:r>
              <w:rPr>
                <w:rFonts w:hint="cs"/>
                <w:sz w:val="26"/>
                <w:rtl/>
              </w:rPr>
              <w:t>הוראות חוק זה לא יחולו על מוסדות רפואיים ועל ספקי חוץ; בסעיף זה –</w:t>
            </w:r>
            <w:r w:rsidR="00C37581">
              <w:rPr>
                <w:sz w:val="26"/>
                <w:rtl/>
              </w:rPr>
              <w:tab/>
            </w:r>
          </w:p>
        </w:tc>
      </w:tr>
      <w:tr w:rsidR="007940A6" w:rsidRPr="00C34DE2" w14:paraId="26686BD6" w14:textId="77777777" w:rsidTr="00E50AF3">
        <w:trPr>
          <w:cantSplit/>
          <w:trHeight w:val="60"/>
        </w:trPr>
        <w:tc>
          <w:tcPr>
            <w:tcW w:w="1871" w:type="dxa"/>
          </w:tcPr>
          <w:p w14:paraId="0701FE01" w14:textId="77777777" w:rsidR="007940A6" w:rsidRDefault="007940A6" w:rsidP="00E50AF3">
            <w:pPr>
              <w:pStyle w:val="TableSideHeading"/>
              <w:keepLines w:val="0"/>
              <w:rPr>
                <w:rtl/>
              </w:rPr>
            </w:pPr>
          </w:p>
        </w:tc>
        <w:tc>
          <w:tcPr>
            <w:tcW w:w="624" w:type="dxa"/>
          </w:tcPr>
          <w:p w14:paraId="727A1E6A" w14:textId="77777777" w:rsidR="007940A6" w:rsidRDefault="007940A6" w:rsidP="00B90F75">
            <w:pPr>
              <w:pStyle w:val="TableText"/>
              <w:rPr>
                <w:rtl/>
              </w:rPr>
            </w:pPr>
          </w:p>
        </w:tc>
        <w:tc>
          <w:tcPr>
            <w:tcW w:w="7146" w:type="dxa"/>
            <w:gridSpan w:val="2"/>
          </w:tcPr>
          <w:p w14:paraId="51EDAF3C" w14:textId="5ABCAC1F" w:rsidR="007940A6" w:rsidRPr="00884EC9" w:rsidRDefault="007940A6" w:rsidP="00884EC9">
            <w:pPr>
              <w:pStyle w:val="TableBlockOutdent"/>
              <w:rPr>
                <w:rtl/>
              </w:rPr>
            </w:pPr>
            <w:r w:rsidRPr="00884EC9">
              <w:rPr>
                <w:rFonts w:hint="cs"/>
                <w:rtl/>
              </w:rPr>
              <w:t>"מוסד רפואי" – בית חולים כמשמעותו בסעיף 24 לפקודת בריאות העם, 1940</w:t>
            </w:r>
            <w:r w:rsidRPr="00884EC9">
              <w:rPr>
                <w:szCs w:val="20"/>
                <w:rtl/>
              </w:rPr>
              <w:footnoteReference w:id="5"/>
            </w:r>
            <w:r w:rsidR="004F2826" w:rsidRPr="00884EC9">
              <w:rPr>
                <w:rFonts w:hint="cs"/>
                <w:rtl/>
              </w:rPr>
              <w:t>;</w:t>
            </w:r>
          </w:p>
        </w:tc>
      </w:tr>
      <w:tr w:rsidR="007940A6" w:rsidRPr="00C34DE2" w14:paraId="74AF5FC3" w14:textId="77777777" w:rsidTr="00E50AF3">
        <w:trPr>
          <w:cantSplit/>
          <w:trHeight w:val="60"/>
        </w:trPr>
        <w:tc>
          <w:tcPr>
            <w:tcW w:w="1871" w:type="dxa"/>
          </w:tcPr>
          <w:p w14:paraId="3EA4E4A3" w14:textId="77777777" w:rsidR="007940A6" w:rsidRDefault="007940A6" w:rsidP="00E50AF3">
            <w:pPr>
              <w:pStyle w:val="TableSideHeading"/>
              <w:keepLines w:val="0"/>
              <w:rPr>
                <w:rtl/>
              </w:rPr>
            </w:pPr>
          </w:p>
        </w:tc>
        <w:tc>
          <w:tcPr>
            <w:tcW w:w="624" w:type="dxa"/>
          </w:tcPr>
          <w:p w14:paraId="56E4089F" w14:textId="77777777" w:rsidR="007940A6" w:rsidRDefault="007940A6" w:rsidP="00B90F75">
            <w:pPr>
              <w:pStyle w:val="TableText"/>
              <w:rPr>
                <w:rtl/>
              </w:rPr>
            </w:pPr>
          </w:p>
        </w:tc>
        <w:tc>
          <w:tcPr>
            <w:tcW w:w="7146" w:type="dxa"/>
            <w:gridSpan w:val="2"/>
          </w:tcPr>
          <w:p w14:paraId="052B9993" w14:textId="0099CC44" w:rsidR="007940A6" w:rsidRPr="00884EC9" w:rsidRDefault="007A3D94" w:rsidP="00884EC9">
            <w:pPr>
              <w:pStyle w:val="TableBlockOutdent"/>
              <w:rPr>
                <w:rtl/>
              </w:rPr>
            </w:pPr>
            <w:r w:rsidRPr="00884EC9">
              <w:rPr>
                <w:rFonts w:hint="cs"/>
                <w:rtl/>
              </w:rPr>
              <w:t>"ספק חוץ" – יצרן, ספק או יבואן של טובין מיובאים, או ספק של עבודה שאינה מבוצעת בישראל, בין בעצמם ובין באמצעות אחרים.</w:t>
            </w:r>
          </w:p>
        </w:tc>
      </w:tr>
      <w:tr w:rsidR="007A3D94" w:rsidRPr="00C34DE2" w14:paraId="1443A3E6" w14:textId="77777777" w:rsidTr="00E50AF3">
        <w:trPr>
          <w:cantSplit/>
          <w:trHeight w:val="60"/>
        </w:trPr>
        <w:tc>
          <w:tcPr>
            <w:tcW w:w="1871" w:type="dxa"/>
          </w:tcPr>
          <w:p w14:paraId="2E351EDC" w14:textId="47673D9B" w:rsidR="007A3D94" w:rsidRDefault="007A3D94" w:rsidP="00E50AF3">
            <w:pPr>
              <w:pStyle w:val="TableSideHeading"/>
              <w:keepLines w:val="0"/>
              <w:rPr>
                <w:rtl/>
              </w:rPr>
            </w:pPr>
            <w:r>
              <w:rPr>
                <w:rFonts w:hint="cs"/>
                <w:rtl/>
              </w:rPr>
              <w:t>תחילה ותחולה</w:t>
            </w:r>
          </w:p>
        </w:tc>
        <w:tc>
          <w:tcPr>
            <w:tcW w:w="624" w:type="dxa"/>
          </w:tcPr>
          <w:p w14:paraId="46EDB04E" w14:textId="5EB3514D" w:rsidR="007A3D94" w:rsidRDefault="007A3D94" w:rsidP="00B90F75">
            <w:pPr>
              <w:pStyle w:val="TableText"/>
              <w:rPr>
                <w:rtl/>
              </w:rPr>
            </w:pPr>
            <w:r>
              <w:rPr>
                <w:rFonts w:hint="cs"/>
                <w:rtl/>
              </w:rPr>
              <w:t>6.</w:t>
            </w:r>
          </w:p>
        </w:tc>
        <w:tc>
          <w:tcPr>
            <w:tcW w:w="7146" w:type="dxa"/>
            <w:gridSpan w:val="2"/>
          </w:tcPr>
          <w:p w14:paraId="27918262" w14:textId="1D5EC575" w:rsidR="007A3D94" w:rsidRDefault="001C55AF" w:rsidP="007940A6">
            <w:pPr>
              <w:pStyle w:val="TableText"/>
              <w:keepLines w:val="0"/>
              <w:jc w:val="both"/>
              <w:rPr>
                <w:sz w:val="26"/>
                <w:rtl/>
              </w:rPr>
            </w:pPr>
            <w:r>
              <w:rPr>
                <w:rFonts w:hint="cs"/>
                <w:sz w:val="26"/>
                <w:rtl/>
              </w:rPr>
              <w:t xml:space="preserve">תחילתו של חוק זה ביום </w:t>
            </w:r>
            <w:r>
              <w:rPr>
                <w:rFonts w:hint="cs"/>
                <w:sz w:val="26"/>
                <w:rtl/>
              </w:rPr>
              <w:softHyphen/>
            </w:r>
            <w:r>
              <w:rPr>
                <w:rFonts w:hint="cs"/>
                <w:sz w:val="26"/>
                <w:rtl/>
              </w:rPr>
              <w:softHyphen/>
            </w:r>
            <w:r>
              <w:rPr>
                <w:rFonts w:hint="cs"/>
                <w:sz w:val="26"/>
                <w:rtl/>
              </w:rPr>
              <w:softHyphen/>
              <w:t xml:space="preserve">**, והוא יחול על התקשרויות שנעשו מיום תחילתו ואילך. </w:t>
            </w:r>
          </w:p>
        </w:tc>
      </w:tr>
    </w:tbl>
    <w:p w14:paraId="7F6961AE" w14:textId="77777777" w:rsidR="00E13C27" w:rsidRDefault="00E13C27" w:rsidP="0000131B">
      <w:pPr>
        <w:pStyle w:val="HeadDivreiHesber"/>
        <w:spacing w:before="0" w:after="0" w:line="240" w:lineRule="auto"/>
        <w:rPr>
          <w:rtl/>
        </w:rPr>
      </w:pPr>
    </w:p>
    <w:p w14:paraId="32B56F1B" w14:textId="77777777" w:rsidR="00884EC9" w:rsidRDefault="00884EC9" w:rsidP="00C37581">
      <w:pPr>
        <w:pStyle w:val="HeadDivreiHesber"/>
        <w:rPr>
          <w:rtl/>
        </w:rPr>
      </w:pPr>
    </w:p>
    <w:p w14:paraId="09A7389A" w14:textId="77777777" w:rsidR="00C37581" w:rsidRDefault="00C37581" w:rsidP="00C37581">
      <w:pPr>
        <w:pStyle w:val="HeadDivreiHesber"/>
        <w:rPr>
          <w:rtl/>
        </w:rPr>
      </w:pPr>
      <w:r w:rsidRPr="0027450A">
        <w:rPr>
          <w:rFonts w:hint="cs"/>
          <w:rtl/>
        </w:rPr>
        <w:lastRenderedPageBreak/>
        <w:t>דברי הסבר</w:t>
      </w:r>
    </w:p>
    <w:p w14:paraId="6F3332AD" w14:textId="7E529F29" w:rsidR="00C37581" w:rsidRDefault="00C37581" w:rsidP="00B90F75">
      <w:pPr>
        <w:pStyle w:val="Hesber"/>
        <w:rPr>
          <w:sz w:val="26"/>
          <w:rtl/>
        </w:rPr>
      </w:pPr>
      <w:r>
        <w:rPr>
          <w:sz w:val="26"/>
          <w:rtl/>
        </w:rPr>
        <w:t xml:space="preserve">מוסר התשלומים במדינת ישראל, </w:t>
      </w:r>
      <w:r w:rsidR="000A5655">
        <w:rPr>
          <w:rFonts w:hint="cs"/>
          <w:sz w:val="26"/>
          <w:rtl/>
        </w:rPr>
        <w:t>ל</w:t>
      </w:r>
      <w:r w:rsidR="003B641E">
        <w:rPr>
          <w:rFonts w:hint="cs"/>
          <w:sz w:val="26"/>
          <w:rtl/>
        </w:rPr>
        <w:t>ספקים ו</w:t>
      </w:r>
      <w:r w:rsidR="000A5655">
        <w:rPr>
          <w:rFonts w:hint="cs"/>
          <w:sz w:val="26"/>
          <w:rtl/>
        </w:rPr>
        <w:t>ל</w:t>
      </w:r>
      <w:r w:rsidR="003B641E">
        <w:rPr>
          <w:rFonts w:hint="cs"/>
          <w:sz w:val="26"/>
          <w:rtl/>
        </w:rPr>
        <w:t>נותני שירות</w:t>
      </w:r>
      <w:r w:rsidR="003B641E">
        <w:rPr>
          <w:sz w:val="26"/>
          <w:rtl/>
        </w:rPr>
        <w:t xml:space="preserve"> </w:t>
      </w:r>
      <w:r>
        <w:rPr>
          <w:sz w:val="26"/>
          <w:rtl/>
        </w:rPr>
        <w:t>ישראלי</w:t>
      </w:r>
      <w:r w:rsidR="000A5655">
        <w:rPr>
          <w:rFonts w:hint="cs"/>
          <w:sz w:val="26"/>
          <w:rtl/>
        </w:rPr>
        <w:t>י</w:t>
      </w:r>
      <w:r>
        <w:rPr>
          <w:sz w:val="26"/>
          <w:rtl/>
        </w:rPr>
        <w:t>ם</w:t>
      </w:r>
      <w:r w:rsidR="000A5655">
        <w:rPr>
          <w:rFonts w:hint="cs"/>
          <w:sz w:val="26"/>
          <w:rtl/>
        </w:rPr>
        <w:t>,</w:t>
      </w:r>
      <w:r>
        <w:rPr>
          <w:sz w:val="26"/>
          <w:rtl/>
        </w:rPr>
        <w:t xml:space="preserve"> הוא אחת מהבעיות המוכרות והמעיקות על המשק הישראלי</w:t>
      </w:r>
      <w:r w:rsidR="006C1232">
        <w:rPr>
          <w:rFonts w:hint="cs"/>
          <w:sz w:val="26"/>
          <w:rtl/>
        </w:rPr>
        <w:t>.</w:t>
      </w:r>
      <w:r>
        <w:rPr>
          <w:sz w:val="26"/>
          <w:rtl/>
        </w:rPr>
        <w:t xml:space="preserve"> אחוז העסקאות שבהן מתבצע איחור בתשלומים נע בין 14-16 אחוזים, וממוצע ימי האיחור נע סביב 10 ימים. התועלת הצומחת למדינת ישראל מדחיית התשלומים נמוכה משמעותית מהנזק הכלכלי הנגרם לגופים העסקיים בכלל ולעסקים הקטנים והבינוניים בפרט, שכן עלות האשראי של הגופים העסקיים גבוהה משמעותית </w:t>
      </w:r>
      <w:r w:rsidR="000A5655">
        <w:rPr>
          <w:rFonts w:hint="cs"/>
          <w:sz w:val="26"/>
          <w:rtl/>
        </w:rPr>
        <w:t>בהתקשרויות עם</w:t>
      </w:r>
      <w:r>
        <w:rPr>
          <w:sz w:val="26"/>
          <w:rtl/>
        </w:rPr>
        <w:t xml:space="preserve"> </w:t>
      </w:r>
      <w:r w:rsidR="000A5655">
        <w:rPr>
          <w:rFonts w:hint="cs"/>
          <w:sz w:val="26"/>
          <w:rtl/>
        </w:rPr>
        <w:t>ה</w:t>
      </w:r>
      <w:r>
        <w:rPr>
          <w:sz w:val="26"/>
          <w:rtl/>
        </w:rPr>
        <w:t>מדינה.</w:t>
      </w:r>
    </w:p>
    <w:p w14:paraId="256F42A6" w14:textId="4E540388" w:rsidR="00C37581" w:rsidRDefault="00C37581" w:rsidP="003A72B2">
      <w:pPr>
        <w:pStyle w:val="Hesber"/>
        <w:rPr>
          <w:sz w:val="26"/>
          <w:rtl/>
        </w:rPr>
      </w:pPr>
      <w:r>
        <w:rPr>
          <w:sz w:val="26"/>
          <w:rtl/>
        </w:rPr>
        <w:t>בעיה זו גוררת פגיעה בתחרותיות הלאומית,</w:t>
      </w:r>
      <w:r>
        <w:rPr>
          <w:rFonts w:hint="cs"/>
          <w:sz w:val="26"/>
          <w:rtl/>
        </w:rPr>
        <w:t xml:space="preserve"> </w:t>
      </w:r>
      <w:r>
        <w:rPr>
          <w:sz w:val="26"/>
          <w:rtl/>
        </w:rPr>
        <w:t xml:space="preserve">בסביבה העסקית, בשימוש במקורות אשראי בנקאיים למטרות הון חוזר שמקורו בפיגור בתשלומים ולא למטרות צמיחה, באיתנות הפיננסית של עסקים, באיכות הניהול במשק ואף בשלטון החוק ובמוסר העסקי. בעיות אלו  </w:t>
      </w:r>
      <w:r w:rsidR="00E81F51">
        <w:rPr>
          <w:rFonts w:hint="cs"/>
          <w:sz w:val="26"/>
          <w:rtl/>
        </w:rPr>
        <w:t>פוגעות</w:t>
      </w:r>
      <w:r w:rsidR="00E81F51">
        <w:rPr>
          <w:sz w:val="26"/>
          <w:rtl/>
        </w:rPr>
        <w:t xml:space="preserve"> </w:t>
      </w:r>
      <w:r>
        <w:rPr>
          <w:sz w:val="26"/>
          <w:rtl/>
        </w:rPr>
        <w:t>במיוחד בעסקים קטנים ובינוניים שנאלצים לממן את הפיגור בתשלומים בגיוס הלוואות יקרות, דבר אשר פוגע באיתות</w:t>
      </w:r>
      <w:r w:rsidR="000876CE">
        <w:rPr>
          <w:rFonts w:hint="cs"/>
          <w:sz w:val="26"/>
          <w:rtl/>
        </w:rPr>
        <w:t>ם</w:t>
      </w:r>
      <w:r>
        <w:rPr>
          <w:sz w:val="26"/>
          <w:rtl/>
        </w:rPr>
        <w:t xml:space="preserve"> ואף עלול לגרום </w:t>
      </w:r>
      <w:r w:rsidR="000876CE">
        <w:rPr>
          <w:sz w:val="26"/>
          <w:rtl/>
        </w:rPr>
        <w:t>לקריסת</w:t>
      </w:r>
      <w:r w:rsidR="000876CE">
        <w:rPr>
          <w:rFonts w:hint="cs"/>
          <w:sz w:val="26"/>
          <w:rtl/>
        </w:rPr>
        <w:t>ם</w:t>
      </w:r>
      <w:r>
        <w:rPr>
          <w:sz w:val="26"/>
          <w:rtl/>
        </w:rPr>
        <w:t xml:space="preserve">, </w:t>
      </w:r>
      <w:r w:rsidR="000876CE">
        <w:rPr>
          <w:rFonts w:hint="cs"/>
          <w:sz w:val="26"/>
          <w:rtl/>
        </w:rPr>
        <w:t>ל</w:t>
      </w:r>
      <w:r>
        <w:rPr>
          <w:sz w:val="26"/>
          <w:rtl/>
        </w:rPr>
        <w:t>פגיעה בצמיחה ו</w:t>
      </w:r>
      <w:r w:rsidR="000876CE">
        <w:rPr>
          <w:rFonts w:hint="cs"/>
          <w:sz w:val="26"/>
          <w:rtl/>
        </w:rPr>
        <w:t>ל</w:t>
      </w:r>
      <w:r>
        <w:rPr>
          <w:sz w:val="26"/>
          <w:rtl/>
        </w:rPr>
        <w:t>עליה באבטלה.</w:t>
      </w:r>
    </w:p>
    <w:p w14:paraId="385C9CB1" w14:textId="6EC2C11D" w:rsidR="00C37581" w:rsidRDefault="00C37581" w:rsidP="003A72B2">
      <w:pPr>
        <w:pStyle w:val="Hesber"/>
        <w:rPr>
          <w:sz w:val="26"/>
          <w:rtl/>
        </w:rPr>
      </w:pPr>
      <w:r>
        <w:rPr>
          <w:sz w:val="26"/>
          <w:rtl/>
        </w:rPr>
        <w:t xml:space="preserve">בעוד </w:t>
      </w:r>
      <w:r w:rsidR="000A5655">
        <w:rPr>
          <w:rFonts w:hint="cs"/>
          <w:sz w:val="26"/>
          <w:rtl/>
        </w:rPr>
        <w:t>ש</w:t>
      </w:r>
      <w:r>
        <w:rPr>
          <w:sz w:val="26"/>
          <w:rtl/>
        </w:rPr>
        <w:t>ניתן להבין, גם אם לא להצדיק, מקרים בהם מוסדות פרטיים נקלעים לקשיי נזילות ולכן אינם עומדים במוסר התשלומים המקובל, הרי שאין להשלים עם מקרים כאלה כאשר הגורם המעכב הוא המדינה.</w:t>
      </w:r>
    </w:p>
    <w:p w14:paraId="53F40997" w14:textId="60ED941C" w:rsidR="00C37581" w:rsidRDefault="00C37581" w:rsidP="003A72B2">
      <w:pPr>
        <w:pStyle w:val="Hesber"/>
        <w:rPr>
          <w:sz w:val="26"/>
          <w:rtl/>
        </w:rPr>
      </w:pPr>
      <w:r>
        <w:rPr>
          <w:sz w:val="26"/>
          <w:rtl/>
        </w:rPr>
        <w:t xml:space="preserve">כמו בכל נושא אחר, על הממשלה </w:t>
      </w:r>
      <w:r w:rsidR="00862CE2">
        <w:rPr>
          <w:rFonts w:hint="cs"/>
          <w:sz w:val="26"/>
          <w:rtl/>
        </w:rPr>
        <w:t>להוות</w:t>
      </w:r>
      <w:r w:rsidR="00862CE2">
        <w:rPr>
          <w:sz w:val="26"/>
          <w:rtl/>
        </w:rPr>
        <w:t xml:space="preserve"> </w:t>
      </w:r>
      <w:r>
        <w:rPr>
          <w:sz w:val="26"/>
          <w:rtl/>
        </w:rPr>
        <w:t>דוגמה בעמידתה בתנאים הכלכליים אשר מצופה מאזרחיה לעמוד בהם. על כן נועדה הצעת החוק לעגן את זכותם של עסקים לקבל תמורה על עבודתם בזמן בהתקשרויותיהם עם המדינה.</w:t>
      </w:r>
    </w:p>
    <w:p w14:paraId="56E548C1" w14:textId="0A6CD4A5" w:rsidR="00862CE2" w:rsidRDefault="00862CE2" w:rsidP="003A72B2">
      <w:pPr>
        <w:pStyle w:val="Hesber"/>
        <w:rPr>
          <w:sz w:val="26"/>
          <w:rtl/>
        </w:rPr>
      </w:pPr>
      <w:r>
        <w:rPr>
          <w:rFonts w:hint="cs"/>
          <w:sz w:val="26"/>
          <w:rtl/>
        </w:rPr>
        <w:t xml:space="preserve">הצעת החוק מבוססת </w:t>
      </w:r>
      <w:r w:rsidR="00ED2002">
        <w:rPr>
          <w:rFonts w:hint="cs"/>
          <w:sz w:val="26"/>
          <w:rtl/>
        </w:rPr>
        <w:t xml:space="preserve">בעיקרה </w:t>
      </w:r>
      <w:r>
        <w:rPr>
          <w:rFonts w:hint="cs"/>
          <w:sz w:val="26"/>
          <w:rtl/>
        </w:rPr>
        <w:t>על הצעת חוק הגבלת אשראי ספקים למוסדות המדינה, התשע"ה–2015</w:t>
      </w:r>
      <w:r w:rsidR="00FE418F">
        <w:rPr>
          <w:rFonts w:hint="cs"/>
          <w:sz w:val="26"/>
          <w:rtl/>
        </w:rPr>
        <w:t xml:space="preserve"> (כ-589)</w:t>
      </w:r>
      <w:r>
        <w:rPr>
          <w:rFonts w:hint="cs"/>
          <w:sz w:val="26"/>
          <w:rtl/>
        </w:rPr>
        <w:t xml:space="preserve">, </w:t>
      </w:r>
      <w:r w:rsidR="004826F6">
        <w:rPr>
          <w:rFonts w:hint="cs"/>
          <w:sz w:val="26"/>
          <w:rtl/>
        </w:rPr>
        <w:t>אשר נו</w:t>
      </w:r>
      <w:r>
        <w:rPr>
          <w:rFonts w:hint="cs"/>
          <w:sz w:val="26"/>
          <w:rtl/>
        </w:rPr>
        <w:t>ס</w:t>
      </w:r>
      <w:r w:rsidR="004826F6">
        <w:rPr>
          <w:rFonts w:hint="cs"/>
          <w:sz w:val="26"/>
          <w:rtl/>
        </w:rPr>
        <w:t>חה</w:t>
      </w:r>
      <w:r>
        <w:rPr>
          <w:rFonts w:hint="cs"/>
          <w:sz w:val="26"/>
          <w:rtl/>
        </w:rPr>
        <w:t xml:space="preserve"> בוועדת הכלכלה</w:t>
      </w:r>
      <w:r w:rsidR="00D85814">
        <w:rPr>
          <w:rFonts w:hint="cs"/>
          <w:sz w:val="26"/>
          <w:rtl/>
        </w:rPr>
        <w:t xml:space="preserve"> לקריאה ראשונה, בהסתמך על הצעות חוק שהונחו על שולחן הכנסת התשע-עשרה על ידי חברת הכנסת שלי יחימוביץ' וקבוצת חברי הכנסת (פ/</w:t>
      </w:r>
      <w:r w:rsidR="00FE418F">
        <w:rPr>
          <w:rFonts w:hint="cs"/>
          <w:sz w:val="26"/>
          <w:rtl/>
        </w:rPr>
        <w:t>753/19) ועל ידי חבר הכנסת רוברט אילטוב (פ/836/19).</w:t>
      </w:r>
      <w:r w:rsidR="00D85814">
        <w:rPr>
          <w:rFonts w:hint="cs"/>
          <w:sz w:val="26"/>
          <w:rtl/>
        </w:rPr>
        <w:t xml:space="preserve"> </w:t>
      </w:r>
    </w:p>
    <w:p w14:paraId="6610FDBE" w14:textId="77777777" w:rsidR="00C37581" w:rsidRDefault="00C37581" w:rsidP="0000131B">
      <w:pPr>
        <w:pStyle w:val="HeadDivreiHesber"/>
        <w:spacing w:before="0" w:after="0" w:line="240" w:lineRule="auto"/>
        <w:rPr>
          <w:rtl/>
        </w:rPr>
      </w:pPr>
    </w:p>
    <w:p w14:paraId="0C33697D" w14:textId="77777777" w:rsidR="00D47BDA" w:rsidRDefault="00D47BDA" w:rsidP="00D47BDA">
      <w:pPr>
        <w:pStyle w:val="Hesber"/>
        <w:rPr>
          <w:sz w:val="26"/>
          <w:rtl/>
        </w:rPr>
      </w:pPr>
    </w:p>
    <w:p w14:paraId="2B628B58" w14:textId="77777777" w:rsidR="00D47BDA" w:rsidRDefault="00D47BDA" w:rsidP="00D47BDA">
      <w:pPr>
        <w:pStyle w:val="Hesber"/>
        <w:rPr>
          <w:sz w:val="26"/>
          <w:rtl/>
        </w:rPr>
      </w:pPr>
    </w:p>
    <w:p w14:paraId="304D89DB" w14:textId="77777777" w:rsidR="00884EC9" w:rsidRDefault="00884EC9" w:rsidP="00884EC9">
      <w:pPr>
        <w:ind w:left="340" w:firstLine="0"/>
        <w:rPr>
          <w:rFonts w:ascii="Arial" w:eastAsia="Arial Unicode MS" w:hAnsi="Arial" w:cs="David"/>
          <w:snapToGrid w:val="0"/>
          <w:spacing w:val="0"/>
          <w:sz w:val="20"/>
          <w:szCs w:val="26"/>
        </w:rPr>
      </w:pPr>
      <w:r>
        <w:rPr>
          <w:rFonts w:ascii="Arial" w:eastAsia="Arial Unicode MS" w:hAnsi="Arial" w:cs="David" w:hint="cs"/>
          <w:snapToGrid w:val="0"/>
          <w:spacing w:val="0"/>
          <w:sz w:val="20"/>
          <w:szCs w:val="26"/>
          <w:rtl/>
        </w:rPr>
        <w:t>---------------------------------</w:t>
      </w:r>
    </w:p>
    <w:p w14:paraId="29AE72DF" w14:textId="77777777" w:rsidR="00884EC9" w:rsidRDefault="00884EC9" w:rsidP="00884EC9">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הוגשה ליו"ר הכנסת והסגנים</w:t>
      </w:r>
    </w:p>
    <w:p w14:paraId="2479A676" w14:textId="77777777" w:rsidR="00884EC9" w:rsidRDefault="00884EC9" w:rsidP="00884EC9">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והונחה על שולחן הכנסת ביום</w:t>
      </w:r>
    </w:p>
    <w:p w14:paraId="69F3C159" w14:textId="77777777" w:rsidR="00884EC9" w:rsidRDefault="00884EC9" w:rsidP="00884EC9">
      <w:pPr>
        <w:ind w:left="340" w:firstLine="0"/>
        <w:rPr>
          <w:rFonts w:ascii="Arial" w:eastAsia="Arial Unicode MS" w:hAnsi="Arial" w:cs="David"/>
          <w:snapToGrid w:val="0"/>
          <w:spacing w:val="0"/>
          <w:sz w:val="20"/>
          <w:szCs w:val="26"/>
          <w:rtl/>
        </w:rPr>
      </w:pPr>
      <w:r>
        <w:rPr>
          <w:rFonts w:ascii="Arial" w:eastAsia="Arial Unicode MS" w:hAnsi="Arial" w:cs="David" w:hint="cs"/>
          <w:snapToGrid w:val="0"/>
          <w:spacing w:val="0"/>
          <w:sz w:val="20"/>
          <w:szCs w:val="26"/>
          <w:rtl/>
        </w:rPr>
        <w:t>כ"ב באייר התשע"ה – 11.5.15</w:t>
      </w:r>
    </w:p>
    <w:p w14:paraId="474D7449" w14:textId="77777777" w:rsidR="00884EC9" w:rsidRDefault="00884EC9" w:rsidP="00884EC9">
      <w:pPr>
        <w:ind w:left="340" w:firstLine="0"/>
        <w:rPr>
          <w:rFonts w:ascii="Arial" w:eastAsia="Arial Unicode MS" w:hAnsi="Arial" w:cs="David"/>
          <w:snapToGrid w:val="0"/>
          <w:spacing w:val="0"/>
          <w:sz w:val="20"/>
          <w:szCs w:val="26"/>
        </w:rPr>
      </w:pPr>
    </w:p>
    <w:p w14:paraId="7F6961CB" w14:textId="77777777" w:rsidR="00E13C27" w:rsidRPr="00884EC9" w:rsidRDefault="00E13C27" w:rsidP="00E13C27">
      <w:pPr>
        <w:pStyle w:val="Hesber"/>
        <w:rPr>
          <w:rtl/>
        </w:rPr>
      </w:pPr>
    </w:p>
    <w:sectPr w:rsidR="00E13C27" w:rsidRPr="00884EC9"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65968" w14:textId="77777777" w:rsidR="00207A8D" w:rsidRDefault="00207A8D">
      <w:r>
        <w:separator/>
      </w:r>
    </w:p>
  </w:endnote>
  <w:endnote w:type="continuationSeparator" w:id="0">
    <w:p w14:paraId="7D7AA8A2" w14:textId="77777777" w:rsidR="00207A8D" w:rsidRDefault="0020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a"/>
      <w:framePr w:wrap="around" w:vAnchor="text" w:hAnchor="text" w:xAlign="center" w:y="1"/>
      <w:rPr>
        <w:rStyle w:val="ac"/>
      </w:rPr>
    </w:pPr>
    <w:r>
      <w:rPr>
        <w:rStyle w:val="ac"/>
        <w:rtl/>
      </w:rPr>
      <w:fldChar w:fldCharType="begin"/>
    </w:r>
    <w:r>
      <w:rPr>
        <w:rStyle w:val="ac"/>
      </w:rPr>
      <w:instrText xml:space="preserve">PAGE  </w:instrText>
    </w:r>
    <w:r>
      <w:rPr>
        <w:rStyle w:val="ac"/>
        <w:rtl/>
      </w:rPr>
      <w:fldChar w:fldCharType="end"/>
    </w:r>
  </w:p>
  <w:p w14:paraId="7F6961D6" w14:textId="77777777" w:rsidR="001A0623" w:rsidRDefault="001A062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a"/>
      <w:framePr w:wrap="around" w:vAnchor="text" w:hAnchor="text" w:xAlign="center" w:y="1"/>
      <w:rPr>
        <w:rStyle w:val="ac"/>
      </w:rPr>
    </w:pPr>
    <w:r>
      <w:rPr>
        <w:rStyle w:val="ac"/>
        <w:rtl/>
      </w:rPr>
      <w:fldChar w:fldCharType="begin"/>
    </w:r>
    <w:r>
      <w:rPr>
        <w:rStyle w:val="ac"/>
      </w:rPr>
      <w:instrText xml:space="preserve">PAGE  </w:instrText>
    </w:r>
    <w:r>
      <w:rPr>
        <w:rStyle w:val="ac"/>
        <w:rtl/>
      </w:rPr>
      <w:fldChar w:fldCharType="separate"/>
    </w:r>
    <w:r w:rsidR="00B86B34">
      <w:rPr>
        <w:rStyle w:val="ac"/>
        <w:noProof/>
        <w:rtl/>
      </w:rPr>
      <w:t>3</w:t>
    </w:r>
    <w:r>
      <w:rPr>
        <w:rStyle w:val="ac"/>
        <w:rtl/>
      </w:rPr>
      <w:fldChar w:fldCharType="end"/>
    </w:r>
  </w:p>
  <w:p w14:paraId="7F6961D8" w14:textId="77777777" w:rsidR="001A0623" w:rsidRDefault="001A062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598E33" w14:textId="77777777" w:rsidR="00207A8D" w:rsidRDefault="00207A8D">
      <w:r>
        <w:separator/>
      </w:r>
    </w:p>
  </w:footnote>
  <w:footnote w:type="continuationSeparator" w:id="0">
    <w:p w14:paraId="6C81362A" w14:textId="77777777" w:rsidR="00207A8D" w:rsidRDefault="00207A8D">
      <w:r>
        <w:continuationSeparator/>
      </w:r>
    </w:p>
  </w:footnote>
  <w:footnote w:type="continuationNotice" w:id="1">
    <w:p w14:paraId="2C2D014B" w14:textId="77777777" w:rsidR="00207A8D" w:rsidRDefault="00207A8D"/>
  </w:footnote>
  <w:footnote w:id="2">
    <w:p w14:paraId="3AADF3E5" w14:textId="3F7AB760" w:rsidR="005F7D03" w:rsidRDefault="005F7D03">
      <w:pPr>
        <w:pStyle w:val="a5"/>
        <w:rPr>
          <w:rtl/>
        </w:rPr>
      </w:pPr>
      <w:r>
        <w:rPr>
          <w:rStyle w:val="a7"/>
        </w:rPr>
        <w:footnoteRef/>
      </w:r>
      <w:r>
        <w:rPr>
          <w:rtl/>
        </w:rPr>
        <w:t xml:space="preserve"> </w:t>
      </w:r>
      <w:r w:rsidR="00A64C92">
        <w:rPr>
          <w:rFonts w:hint="cs"/>
          <w:rtl/>
        </w:rPr>
        <w:t>ס"ח התשנ"ב, עמ' 114.</w:t>
      </w:r>
    </w:p>
  </w:footnote>
  <w:footnote w:id="3">
    <w:p w14:paraId="6033A728" w14:textId="271B3AA8" w:rsidR="00590CFB" w:rsidRDefault="00590CFB">
      <w:pPr>
        <w:pStyle w:val="a5"/>
        <w:rPr>
          <w:rtl/>
        </w:rPr>
      </w:pPr>
      <w:r>
        <w:rPr>
          <w:rStyle w:val="a7"/>
        </w:rPr>
        <w:footnoteRef/>
      </w:r>
      <w:r>
        <w:rPr>
          <w:rtl/>
        </w:rPr>
        <w:t xml:space="preserve"> </w:t>
      </w:r>
      <w:r>
        <w:rPr>
          <w:rFonts w:hint="cs"/>
          <w:rtl/>
        </w:rPr>
        <w:t>ס"ח התשט"ו, עמ' 48.</w:t>
      </w:r>
    </w:p>
  </w:footnote>
  <w:footnote w:id="4">
    <w:p w14:paraId="619086DC" w14:textId="77777777" w:rsidR="007940A6" w:rsidRDefault="007940A6" w:rsidP="007940A6">
      <w:pPr>
        <w:pStyle w:val="a5"/>
      </w:pPr>
      <w:r>
        <w:rPr>
          <w:rStyle w:val="a7"/>
        </w:rPr>
        <w:footnoteRef/>
      </w:r>
      <w:r>
        <w:rPr>
          <w:rtl/>
        </w:rPr>
        <w:t xml:space="preserve"> </w:t>
      </w:r>
      <w:r>
        <w:rPr>
          <w:rFonts w:hint="cs"/>
          <w:rtl/>
        </w:rPr>
        <w:t>ס"ח התשכ"א, עמ' 192.</w:t>
      </w:r>
    </w:p>
  </w:footnote>
  <w:footnote w:id="5">
    <w:p w14:paraId="7D23E693" w14:textId="4DF308E0" w:rsidR="007940A6" w:rsidRDefault="007940A6">
      <w:pPr>
        <w:pStyle w:val="a5"/>
      </w:pPr>
      <w:r>
        <w:rPr>
          <w:rStyle w:val="a7"/>
        </w:rPr>
        <w:footnoteRef/>
      </w:r>
      <w:r>
        <w:rPr>
          <w:rtl/>
        </w:rPr>
        <w:t xml:space="preserve"> </w:t>
      </w:r>
      <w:r w:rsidR="004F2826">
        <w:rPr>
          <w:rFonts w:hint="cs"/>
          <w:rtl/>
        </w:rPr>
        <w:t>ע"ר 1940, תוס' 1, עמ' (ע) 191, (א) 239.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0A2C5EF2"/>
    <w:multiLevelType w:val="hybridMultilevel"/>
    <w:tmpl w:val="1C9282D0"/>
    <w:lvl w:ilvl="0" w:tplc="5132780E">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4F0E70"/>
    <w:multiLevelType w:val="hybridMultilevel"/>
    <w:tmpl w:val="411077DE"/>
    <w:lvl w:ilvl="0" w:tplc="1AB87184">
      <w:start w:val="1"/>
      <w:numFmt w:val="decimal"/>
      <w:lvlText w:val="%1."/>
      <w:lvlJc w:val="left"/>
      <w:pPr>
        <w:ind w:left="360" w:hanging="360"/>
      </w:pPr>
      <w:rPr>
        <w:rFonts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5"/>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32E2"/>
    <w:rsid w:val="00015B27"/>
    <w:rsid w:val="000634C7"/>
    <w:rsid w:val="00074138"/>
    <w:rsid w:val="0007681A"/>
    <w:rsid w:val="000876CE"/>
    <w:rsid w:val="000A3CB3"/>
    <w:rsid w:val="000A542E"/>
    <w:rsid w:val="000A5655"/>
    <w:rsid w:val="00102B6B"/>
    <w:rsid w:val="001052D4"/>
    <w:rsid w:val="0010644B"/>
    <w:rsid w:val="001207F8"/>
    <w:rsid w:val="00121924"/>
    <w:rsid w:val="001279A8"/>
    <w:rsid w:val="00131699"/>
    <w:rsid w:val="0014195F"/>
    <w:rsid w:val="00152609"/>
    <w:rsid w:val="00153E1B"/>
    <w:rsid w:val="001A0623"/>
    <w:rsid w:val="001C23B0"/>
    <w:rsid w:val="001C55AF"/>
    <w:rsid w:val="001E681D"/>
    <w:rsid w:val="001F2015"/>
    <w:rsid w:val="00203A7F"/>
    <w:rsid w:val="00207A8D"/>
    <w:rsid w:val="002155B0"/>
    <w:rsid w:val="002200A1"/>
    <w:rsid w:val="002362BF"/>
    <w:rsid w:val="00241B97"/>
    <w:rsid w:val="00246756"/>
    <w:rsid w:val="002510D2"/>
    <w:rsid w:val="00251E58"/>
    <w:rsid w:val="00254605"/>
    <w:rsid w:val="002728B4"/>
    <w:rsid w:val="0027600C"/>
    <w:rsid w:val="0028412E"/>
    <w:rsid w:val="00292712"/>
    <w:rsid w:val="002A487D"/>
    <w:rsid w:val="002A7418"/>
    <w:rsid w:val="002B4CAB"/>
    <w:rsid w:val="002C2E29"/>
    <w:rsid w:val="002D1EE3"/>
    <w:rsid w:val="002D1F19"/>
    <w:rsid w:val="002D7CB8"/>
    <w:rsid w:val="002E215F"/>
    <w:rsid w:val="002E2249"/>
    <w:rsid w:val="002F1D80"/>
    <w:rsid w:val="002F4DD6"/>
    <w:rsid w:val="003232A2"/>
    <w:rsid w:val="00325C14"/>
    <w:rsid w:val="003654B1"/>
    <w:rsid w:val="003710F6"/>
    <w:rsid w:val="00386E88"/>
    <w:rsid w:val="00393B48"/>
    <w:rsid w:val="00396585"/>
    <w:rsid w:val="003A72B2"/>
    <w:rsid w:val="003B641E"/>
    <w:rsid w:val="003D74A0"/>
    <w:rsid w:val="004033D8"/>
    <w:rsid w:val="004073F0"/>
    <w:rsid w:val="00412A7D"/>
    <w:rsid w:val="00416B4D"/>
    <w:rsid w:val="00417CFC"/>
    <w:rsid w:val="00474EA8"/>
    <w:rsid w:val="004826F6"/>
    <w:rsid w:val="00491191"/>
    <w:rsid w:val="004968B1"/>
    <w:rsid w:val="004B24ED"/>
    <w:rsid w:val="004D2D82"/>
    <w:rsid w:val="004D3876"/>
    <w:rsid w:val="004E4552"/>
    <w:rsid w:val="004F2826"/>
    <w:rsid w:val="00553C9D"/>
    <w:rsid w:val="00562A66"/>
    <w:rsid w:val="00590CFB"/>
    <w:rsid w:val="005B064E"/>
    <w:rsid w:val="005D51AE"/>
    <w:rsid w:val="005F7D03"/>
    <w:rsid w:val="0062674B"/>
    <w:rsid w:val="006363B2"/>
    <w:rsid w:val="00644940"/>
    <w:rsid w:val="00656219"/>
    <w:rsid w:val="006818A9"/>
    <w:rsid w:val="006A2D81"/>
    <w:rsid w:val="006C1232"/>
    <w:rsid w:val="006C1D0D"/>
    <w:rsid w:val="0070601E"/>
    <w:rsid w:val="00712C72"/>
    <w:rsid w:val="00735FE9"/>
    <w:rsid w:val="00763CAA"/>
    <w:rsid w:val="00765F66"/>
    <w:rsid w:val="007940A6"/>
    <w:rsid w:val="007A3D94"/>
    <w:rsid w:val="007C3FA6"/>
    <w:rsid w:val="007D150A"/>
    <w:rsid w:val="007D585A"/>
    <w:rsid w:val="007D5A12"/>
    <w:rsid w:val="007E59F9"/>
    <w:rsid w:val="00810BCD"/>
    <w:rsid w:val="00812C98"/>
    <w:rsid w:val="00814D92"/>
    <w:rsid w:val="0083181D"/>
    <w:rsid w:val="00862CE2"/>
    <w:rsid w:val="00874BBC"/>
    <w:rsid w:val="00884EC9"/>
    <w:rsid w:val="00892135"/>
    <w:rsid w:val="00895449"/>
    <w:rsid w:val="00897879"/>
    <w:rsid w:val="008A6870"/>
    <w:rsid w:val="008C2DDC"/>
    <w:rsid w:val="008C601F"/>
    <w:rsid w:val="008C7516"/>
    <w:rsid w:val="008E6EC7"/>
    <w:rsid w:val="008F0D63"/>
    <w:rsid w:val="008F2C35"/>
    <w:rsid w:val="008F6665"/>
    <w:rsid w:val="0091204F"/>
    <w:rsid w:val="009203DB"/>
    <w:rsid w:val="00923CD4"/>
    <w:rsid w:val="00943386"/>
    <w:rsid w:val="009456B6"/>
    <w:rsid w:val="00957589"/>
    <w:rsid w:val="00966D06"/>
    <w:rsid w:val="00982412"/>
    <w:rsid w:val="00983A8D"/>
    <w:rsid w:val="009A63B3"/>
    <w:rsid w:val="009A7257"/>
    <w:rsid w:val="009C372D"/>
    <w:rsid w:val="009D6E0A"/>
    <w:rsid w:val="00A14672"/>
    <w:rsid w:val="00A26BD6"/>
    <w:rsid w:val="00A443CF"/>
    <w:rsid w:val="00A64C92"/>
    <w:rsid w:val="00A6611D"/>
    <w:rsid w:val="00A82CB7"/>
    <w:rsid w:val="00AA2F03"/>
    <w:rsid w:val="00AC36F7"/>
    <w:rsid w:val="00AC63A4"/>
    <w:rsid w:val="00AD239E"/>
    <w:rsid w:val="00B02618"/>
    <w:rsid w:val="00B10265"/>
    <w:rsid w:val="00B21211"/>
    <w:rsid w:val="00B35784"/>
    <w:rsid w:val="00B474D0"/>
    <w:rsid w:val="00B733A7"/>
    <w:rsid w:val="00B86B34"/>
    <w:rsid w:val="00B90F75"/>
    <w:rsid w:val="00B975AD"/>
    <w:rsid w:val="00BA1C03"/>
    <w:rsid w:val="00BC45FB"/>
    <w:rsid w:val="00BF148D"/>
    <w:rsid w:val="00C23B1A"/>
    <w:rsid w:val="00C310EB"/>
    <w:rsid w:val="00C37459"/>
    <w:rsid w:val="00C37581"/>
    <w:rsid w:val="00C9176A"/>
    <w:rsid w:val="00CE29DA"/>
    <w:rsid w:val="00CF1AA2"/>
    <w:rsid w:val="00D1382F"/>
    <w:rsid w:val="00D21065"/>
    <w:rsid w:val="00D47BDA"/>
    <w:rsid w:val="00D63620"/>
    <w:rsid w:val="00D8410D"/>
    <w:rsid w:val="00D85814"/>
    <w:rsid w:val="00D867D7"/>
    <w:rsid w:val="00DB7060"/>
    <w:rsid w:val="00DE3153"/>
    <w:rsid w:val="00E06736"/>
    <w:rsid w:val="00E13C27"/>
    <w:rsid w:val="00E307A2"/>
    <w:rsid w:val="00E33BBD"/>
    <w:rsid w:val="00E45103"/>
    <w:rsid w:val="00E665B9"/>
    <w:rsid w:val="00E81F51"/>
    <w:rsid w:val="00EA01E6"/>
    <w:rsid w:val="00EA3DE8"/>
    <w:rsid w:val="00EA758F"/>
    <w:rsid w:val="00EB361C"/>
    <w:rsid w:val="00ED2002"/>
    <w:rsid w:val="00ED4A6F"/>
    <w:rsid w:val="00EF3A3A"/>
    <w:rsid w:val="00F06343"/>
    <w:rsid w:val="00F5623E"/>
    <w:rsid w:val="00F61CD1"/>
    <w:rsid w:val="00F628D6"/>
    <w:rsid w:val="00F67051"/>
    <w:rsid w:val="00FA5E88"/>
    <w:rsid w:val="00FE418F"/>
    <w:rsid w:val="00FF00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link w:val="a4"/>
    <w:uiPriority w:val="99"/>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uiPriority w:val="99"/>
    <w:rsid w:val="00B975AD"/>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7">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8">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9">
    <w:name w:val="header"/>
    <w:basedOn w:val="a"/>
    <w:rsid w:val="00B975AD"/>
    <w:pPr>
      <w:tabs>
        <w:tab w:val="center" w:pos="4153"/>
        <w:tab w:val="right" w:pos="8306"/>
      </w:tabs>
    </w:pPr>
  </w:style>
  <w:style w:type="paragraph" w:styleId="aa">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b">
    <w:name w:val="Title"/>
    <w:basedOn w:val="a"/>
    <w:qFormat/>
    <w:rsid w:val="00943386"/>
    <w:pPr>
      <w:jc w:val="center"/>
    </w:pPr>
    <w:rPr>
      <w:rFonts w:cs="David"/>
      <w:b/>
      <w:bCs/>
      <w:sz w:val="28"/>
      <w:szCs w:val="28"/>
      <w:u w:val="single"/>
    </w:rPr>
  </w:style>
  <w:style w:type="character" w:styleId="ac">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d">
    <w:name w:val="Balloon Text"/>
    <w:basedOn w:val="a"/>
    <w:link w:val="ae"/>
    <w:semiHidden/>
    <w:unhideWhenUsed/>
    <w:rsid w:val="00325C14"/>
    <w:pPr>
      <w:spacing w:before="0" w:line="240" w:lineRule="auto"/>
    </w:pPr>
    <w:rPr>
      <w:rFonts w:ascii="Tahoma" w:hAnsi="Tahoma" w:cs="Tahoma"/>
      <w:sz w:val="16"/>
      <w:szCs w:val="16"/>
    </w:rPr>
  </w:style>
  <w:style w:type="character" w:customStyle="1" w:styleId="ae">
    <w:name w:val="טקסט בלונים תו"/>
    <w:basedOn w:val="a0"/>
    <w:link w:val="ad"/>
    <w:semiHidden/>
    <w:rsid w:val="00325C14"/>
    <w:rPr>
      <w:rFonts w:ascii="Tahoma" w:hAnsi="Tahoma" w:cs="Tahoma"/>
      <w:color w:val="000000"/>
      <w:spacing w:val="1"/>
      <w:sz w:val="16"/>
      <w:szCs w:val="16"/>
      <w:lang w:eastAsia="ja-JP"/>
    </w:rPr>
  </w:style>
  <w:style w:type="character" w:customStyle="1" w:styleId="a6">
    <w:name w:val="טקסט הערת שוליים תו"/>
    <w:basedOn w:val="a0"/>
    <w:link w:val="a5"/>
    <w:uiPriority w:val="99"/>
    <w:locked/>
    <w:rsid w:val="00D47BDA"/>
    <w:rPr>
      <w:rFonts w:ascii="Arial" w:eastAsia="Arial Unicode MS" w:hAnsi="Arial" w:cs="David"/>
      <w:snapToGrid w:val="0"/>
      <w:color w:val="000000"/>
      <w:sz w:val="14"/>
      <w:lang w:eastAsia="ja-JP"/>
    </w:rPr>
  </w:style>
  <w:style w:type="character" w:customStyle="1" w:styleId="a4">
    <w:name w:val="טקסט הערת סיום תו"/>
    <w:basedOn w:val="a0"/>
    <w:link w:val="a3"/>
    <w:uiPriority w:val="99"/>
    <w:locked/>
    <w:rsid w:val="002B4CAB"/>
    <w:rPr>
      <w:rFonts w:ascii="Hadasa Roso SL" w:hAnsi="Hadasa Roso SL" w:cs="Hadasa Roso SL"/>
      <w:color w:val="000000"/>
      <w:spacing w:val="1"/>
      <w:sz w:val="14"/>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link w:val="a4"/>
    <w:uiPriority w:val="99"/>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uiPriority w:val="99"/>
    <w:rsid w:val="00B975AD"/>
    <w:pPr>
      <w:snapToGrid w:val="0"/>
      <w:spacing w:before="0" w:line="360" w:lineRule="auto"/>
    </w:pPr>
    <w:rPr>
      <w:rFonts w:ascii="Arial" w:eastAsia="Arial Unicode MS" w:hAnsi="Arial" w:cs="David"/>
      <w:snapToGrid w:val="0"/>
      <w:spacing w:val="0"/>
      <w:sz w:val="20"/>
      <w:szCs w:val="26"/>
    </w:rPr>
  </w:style>
  <w:style w:type="paragraph" w:styleId="a5">
    <w:name w:val="footnote text"/>
    <w:basedOn w:val="a"/>
    <w:link w:val="a6"/>
    <w:autoRedefine/>
    <w:uiPriority w:val="99"/>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7">
    <w:name w:val="footnote reference"/>
    <w:basedOn w:val="a0"/>
    <w:uiPriority w:val="99"/>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8">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9">
    <w:name w:val="header"/>
    <w:basedOn w:val="a"/>
    <w:rsid w:val="00B975AD"/>
    <w:pPr>
      <w:tabs>
        <w:tab w:val="center" w:pos="4153"/>
        <w:tab w:val="right" w:pos="8306"/>
      </w:tabs>
    </w:pPr>
  </w:style>
  <w:style w:type="paragraph" w:styleId="aa">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b">
    <w:name w:val="Title"/>
    <w:basedOn w:val="a"/>
    <w:qFormat/>
    <w:rsid w:val="00943386"/>
    <w:pPr>
      <w:jc w:val="center"/>
    </w:pPr>
    <w:rPr>
      <w:rFonts w:cs="David"/>
      <w:b/>
      <w:bCs/>
      <w:sz w:val="28"/>
      <w:szCs w:val="28"/>
      <w:u w:val="single"/>
    </w:rPr>
  </w:style>
  <w:style w:type="character" w:styleId="ac">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d">
    <w:name w:val="Balloon Text"/>
    <w:basedOn w:val="a"/>
    <w:link w:val="ae"/>
    <w:semiHidden/>
    <w:unhideWhenUsed/>
    <w:rsid w:val="00325C14"/>
    <w:pPr>
      <w:spacing w:before="0" w:line="240" w:lineRule="auto"/>
    </w:pPr>
    <w:rPr>
      <w:rFonts w:ascii="Tahoma" w:hAnsi="Tahoma" w:cs="Tahoma"/>
      <w:sz w:val="16"/>
      <w:szCs w:val="16"/>
    </w:rPr>
  </w:style>
  <w:style w:type="character" w:customStyle="1" w:styleId="ae">
    <w:name w:val="טקסט בלונים תו"/>
    <w:basedOn w:val="a0"/>
    <w:link w:val="ad"/>
    <w:semiHidden/>
    <w:rsid w:val="00325C14"/>
    <w:rPr>
      <w:rFonts w:ascii="Tahoma" w:hAnsi="Tahoma" w:cs="Tahoma"/>
      <w:color w:val="000000"/>
      <w:spacing w:val="1"/>
      <w:sz w:val="16"/>
      <w:szCs w:val="16"/>
      <w:lang w:eastAsia="ja-JP"/>
    </w:rPr>
  </w:style>
  <w:style w:type="character" w:customStyle="1" w:styleId="a6">
    <w:name w:val="טקסט הערת שוליים תו"/>
    <w:basedOn w:val="a0"/>
    <w:link w:val="a5"/>
    <w:uiPriority w:val="99"/>
    <w:locked/>
    <w:rsid w:val="00D47BDA"/>
    <w:rPr>
      <w:rFonts w:ascii="Arial" w:eastAsia="Arial Unicode MS" w:hAnsi="Arial" w:cs="David"/>
      <w:snapToGrid w:val="0"/>
      <w:color w:val="000000"/>
      <w:sz w:val="14"/>
      <w:lang w:eastAsia="ja-JP"/>
    </w:rPr>
  </w:style>
  <w:style w:type="character" w:customStyle="1" w:styleId="a4">
    <w:name w:val="טקסט הערת סיום תו"/>
    <w:basedOn w:val="a0"/>
    <w:link w:val="a3"/>
    <w:uiPriority w:val="99"/>
    <w:locked/>
    <w:rsid w:val="002B4CAB"/>
    <w:rPr>
      <w:rFonts w:ascii="Hadasa Roso SL" w:hAnsi="Hadasa Roso SL" w:cs="Hadasa Roso SL"/>
      <w:color w:val="000000"/>
      <w:spacing w:val="1"/>
      <w:sz w:val="14"/>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915985">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81EBB-0F7F-4D12-8CD5-1B1943842A55}"/>
</file>

<file path=customXml/itemProps2.xml><?xml version="1.0" encoding="utf-8"?>
<ds:datastoreItem xmlns:ds="http://schemas.openxmlformats.org/officeDocument/2006/customXml" ds:itemID="{88F4AFE3-9455-419C-8851-785A55F44517}"/>
</file>

<file path=customXml/itemProps3.xml><?xml version="1.0" encoding="utf-8"?>
<ds:datastoreItem xmlns:ds="http://schemas.openxmlformats.org/officeDocument/2006/customXml" ds:itemID="{53CDC32B-DD97-493E-9196-3EF77D6F9C7D}"/>
</file>

<file path=customXml/itemProps4.xml><?xml version="1.0" encoding="utf-8"?>
<ds:datastoreItem xmlns:ds="http://schemas.openxmlformats.org/officeDocument/2006/customXml" ds:itemID="{B8C9CEEC-B213-4782-9772-781037E800BC}"/>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3225</Characters>
  <Application>Microsoft Office Word</Application>
  <DocSecurity>0</DocSecurity>
  <Lines>26</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רועי שמואל פולקמן</dc:creator>
  <cp:lastModifiedBy>כוכי שבתאי</cp:lastModifiedBy>
  <cp:revision>2</cp:revision>
  <cp:lastPrinted>2015-05-07T09:42:00Z</cp:lastPrinted>
  <dcterms:created xsi:type="dcterms:W3CDTF">2016-04-13T08:44:00Z</dcterms:created>
  <dcterms:modified xsi:type="dcterms:W3CDTF">2016-04-13T08:44:00Z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0354fdee-f711-4d2a-9cf2-2d1c4d9ac92a</vt:lpwstr>
  </property>
  <property fmtid="{D5CDD505-2E9C-101B-9397-08002B2CF9AE}" pid="4" name="SanhedrinDocumentType">
    <vt:r8>88</vt:r8>
  </property>
  <property fmtid="{D5CDD505-2E9C-101B-9397-08002B2CF9AE}" pid="5" name="SanhedrinItemID">
    <vt:r8>579091</vt:r8>
  </property>
</Properties>
</file>